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Základním odlišením práce klinického logopeda od speciálního pedagoga se specializací na narušenou komunikační schopnost, by měla být jeho </w:t>
      </w:r>
      <w:r>
        <w:rPr>
          <w:u w:val="single"/>
        </w:rPr>
        <w:t>klinická práce</w:t>
      </w:r>
      <w:r>
        <w:rPr/>
        <w:t xml:space="preserve">, která začíná v prvokontaktu s klientem </w:t>
      </w:r>
      <w:r>
        <w:rPr>
          <w:b/>
          <w:bCs/>
          <w:u w:val="single"/>
        </w:rPr>
        <w:t>komplexním vyšetřením</w:t>
      </w:r>
      <w:r>
        <w:rPr/>
        <w:t xml:space="preserve">, jehož výstupem je </w:t>
      </w:r>
      <w:r>
        <w:rPr>
          <w:u w:val="single"/>
        </w:rPr>
        <w:t>zpráva pro odesílajícího lékaře a klienta, př. jeho zákonného zástupce.</w:t>
      </w:r>
      <w:r>
        <w:rPr/>
        <w:t xml:space="preserve"> Zároveň se klinický logoped řídí zákonem č. 372/2011 Sb. - </w:t>
      </w:r>
      <w:r>
        <w:rPr>
          <w:i/>
          <w:iCs/>
        </w:rPr>
        <w:t>Vedení zdravotnické dokumentace</w:t>
      </w:r>
      <w:r>
        <w:rPr/>
        <w:t>.</w:t>
      </w:r>
    </w:p>
    <w:p>
      <w:pPr>
        <w:pStyle w:val="Normal"/>
        <w:rPr>
          <w:color w:val="FF0000"/>
        </w:rPr>
      </w:pPr>
      <w:r>
        <w:rPr/>
        <w:t xml:space="preserve">Komplexní vyšetření je „rukopisem“  každého konkrétního klinického logopeda, takže si každý vytvoří specifické své komplexní vyšetření, ale  mělo by obsahovat základní, níže uvedené, údaje. </w:t>
      </w:r>
      <w:r>
        <w:rPr>
          <w:b/>
          <w:bCs/>
          <w:color w:val="FF0000"/>
        </w:rPr>
        <w:t>Komplexní vyšetření většinou trvá 45-60 minut.</w:t>
      </w:r>
    </w:p>
    <w:p>
      <w:pPr>
        <w:pStyle w:val="Normal"/>
        <w:rPr/>
      </w:pPr>
      <w:r>
        <w:rPr/>
        <w:t>Pro začínající klinické logopedy předkládáme základní vyšetřované oblasti, které by mělo komplexní vyšetření obsahovat. Samozřejmostí je, že takové vyšetření má různé varianty, s ohledem na konkrétní NKS (symptomy), věk klienta, aktuální situaci a specifikaci klinického zařízení.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Komplexní logopedické vyšetření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Obecné údaje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Anamnéza</w:t>
      </w: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>
          <w:sz w:val="24"/>
          <w:szCs w:val="24"/>
          <w:u w:val="single"/>
        </w:rPr>
        <w:t>Jazykové roviny řeči: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lexikálně – sémantická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morfologicko – syntaktická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foneticko – fonologická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pragmatická rovina řeči 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Motorika:</w:t>
      </w:r>
    </w:p>
    <w:p>
      <w:pPr>
        <w:pStyle w:val="Normal"/>
        <w:rPr/>
      </w:pPr>
      <w:r>
        <w:rPr>
          <w:sz w:val="24"/>
          <w:szCs w:val="24"/>
        </w:rPr>
        <w:t>hrubá motorika, jemná motorika, grafomotorika, oromotorika</w:t>
      </w:r>
    </w:p>
    <w:p>
      <w:pPr>
        <w:pStyle w:val="Normal"/>
        <w:rPr/>
      </w:pPr>
      <w:r>
        <w:rPr>
          <w:sz w:val="24"/>
          <w:szCs w:val="24"/>
          <w:u w:val="single"/>
        </w:rPr>
        <w:t>Sluchová percepc</w:t>
      </w:r>
      <w:r>
        <w:rPr>
          <w:sz w:val="24"/>
          <w:szCs w:val="24"/>
        </w:rPr>
        <w:t>e + orientační vyšetření sluchu</w:t>
      </w:r>
    </w:p>
    <w:p>
      <w:pPr>
        <w:pStyle w:val="Normal"/>
        <w:rPr/>
      </w:pPr>
      <w:r>
        <w:rPr>
          <w:sz w:val="24"/>
          <w:szCs w:val="24"/>
          <w:u w:val="single"/>
        </w:rPr>
        <w:t xml:space="preserve">Zraková percepce </w:t>
      </w:r>
      <w:r>
        <w:rPr>
          <w:sz w:val="24"/>
          <w:szCs w:val="24"/>
        </w:rPr>
        <w:t>+ orientační vyšetření zraku</w:t>
      </w:r>
    </w:p>
    <w:p>
      <w:pPr>
        <w:pStyle w:val="Normal"/>
        <w:rPr/>
      </w:pPr>
      <w:r>
        <w:rPr>
          <w:sz w:val="24"/>
          <w:szCs w:val="24"/>
          <w:u w:val="single"/>
        </w:rPr>
        <w:t>Obecné znalosti, přehled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Pozornost, chování a spolupráce</w:t>
      </w:r>
    </w:p>
    <w:p>
      <w:pPr>
        <w:pStyle w:val="Normal"/>
        <w:rPr>
          <w:b/>
          <w:b/>
          <w:bCs/>
        </w:rPr>
      </w:pPr>
      <w:r>
        <w:rPr>
          <w:b/>
          <w:bCs/>
          <w:sz w:val="24"/>
          <w:szCs w:val="24"/>
        </w:rPr>
        <w:t>Závěr a pracovní diagnóza</w:t>
      </w:r>
    </w:p>
    <w:p>
      <w:pPr>
        <w:pStyle w:val="Normal"/>
        <w:rPr/>
      </w:pPr>
      <w:r>
        <w:rPr>
          <w:sz w:val="24"/>
          <w:szCs w:val="24"/>
        </w:rPr>
        <w:t>Doporučení + cíl terapie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4"/>
          <w:szCs w:val="24"/>
        </w:rPr>
        <w:t>ZÁKLADNÍ PATERO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Klinický logoped</w:t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  <w:sz w:val="28"/>
          <w:szCs w:val="28"/>
        </w:rPr>
        <w:t>nepracuje s klientem méně než 30 minut</w:t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  <w:sz w:val="28"/>
          <w:szCs w:val="28"/>
        </w:rPr>
        <w:t xml:space="preserve">netvrdí, že péče o dětského klienta začíná až od 5 let věku dítěte, </w:t>
      </w:r>
      <w:r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 že má specializaci pouze na dětské klienty</w:t>
      </w:r>
    </w:p>
    <w:p>
      <w:pPr>
        <w:pStyle w:val="Normal"/>
        <w:numPr>
          <w:ilvl w:val="0"/>
          <w:numId w:val="3"/>
        </w:numPr>
        <w:rPr/>
      </w:pPr>
      <w:r>
        <w:rPr>
          <w:i/>
          <w:iCs/>
          <w:sz w:val="28"/>
          <w:szCs w:val="28"/>
        </w:rPr>
        <w:t xml:space="preserve">neprovádí terapii </w:t>
      </w:r>
      <w:r>
        <w:rPr>
          <w:i/>
          <w:iCs/>
          <w:color w:val="auto"/>
          <w:sz w:val="28"/>
          <w:szCs w:val="28"/>
        </w:rPr>
        <w:t>v</w:t>
      </w:r>
      <w:r>
        <w:rPr>
          <w:i/>
          <w:iCs/>
          <w:color w:val="auto"/>
          <w:sz w:val="28"/>
          <w:szCs w:val="28"/>
        </w:rPr>
        <w:t>e školských zařízeních</w:t>
      </w:r>
      <w:r>
        <w:rPr>
          <w:i/>
          <w:iCs/>
          <w:color w:val="auto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4"/>
        </w:numPr>
        <w:rPr/>
      </w:pPr>
      <w:r>
        <w:rPr>
          <w:i/>
          <w:iCs/>
          <w:sz w:val="28"/>
          <w:szCs w:val="28"/>
        </w:rPr>
        <w:t>nepracuje bez odborného dohledu pokud nemá atestaci a Osvědčení k výkonu zdravotnického povolání bez odborného dohledu od MZ ČR</w:t>
      </w:r>
    </w:p>
    <w:p>
      <w:pPr>
        <w:pStyle w:val="Normal"/>
        <w:numPr>
          <w:ilvl w:val="0"/>
          <w:numId w:val="5"/>
        </w:numPr>
        <w:rPr/>
      </w:pPr>
      <w:r>
        <w:rPr>
          <w:i/>
          <w:iCs/>
          <w:color w:val="auto"/>
          <w:sz w:val="28"/>
          <w:szCs w:val="28"/>
        </w:rPr>
        <w:t>provádí pouze úkony, ke kterým je kompetentní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Etická komise AKL ČR z.s. se stále častěji dozvídá, že někteří z nás právě pět výše uvedených bodů porušuje. Pokud chceme, aby náš oboru byl uznávaný, a abychom se definitivně mohli vymezit vůči speciálním pedagogům, je nutné </w:t>
      </w:r>
      <w:r>
        <w:rPr>
          <w:color w:val="auto"/>
          <w:sz w:val="24"/>
          <w:szCs w:val="24"/>
        </w:rPr>
        <w:t>začít u sebe</w:t>
      </w:r>
      <w:r>
        <w:rPr>
          <w:color w:val="auto"/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S pozdravem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4"/>
          <w:szCs w:val="24"/>
        </w:rPr>
        <w:t>Etická komise AKL ČR z.s.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5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LibreOffice/5.3.0.3$Windows_x86 LibreOffice_project/7074905676c47b82bbcfbea1aeefc84afe1c50e1</Application>
  <Pages>2</Pages>
  <Words>287</Words>
  <Characters>1759</Characters>
  <CharactersWithSpaces>2025</CharactersWithSpaces>
  <Paragraphs>29</Paragraphs>
  <Company>FTNsP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2017-03-13T06:50:00Z</dcterms:created>
  <dc:creator>Petra Petrlíková</dc:creator>
  <dc:description/>
  <dc:language>cs-CZ</dc:language>
  <cp:lastModifiedBy/>
  <dcterms:modified xsi:type="dcterms:W3CDTF">2017-03-13T19:04:02Z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FTNsP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