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CC5F9C" w14:textId="77777777" w:rsidR="003B73A2" w:rsidRDefault="00A83A01">
      <w:pPr>
        <w:spacing w:line="100" w:lineRule="atLeast"/>
        <w:rPr>
          <w:b/>
          <w:bCs/>
        </w:rPr>
      </w:pPr>
      <w:r>
        <w:rPr>
          <w:u w:val="single"/>
        </w:rPr>
        <w:t>Zápis z jednání rady AKL – 25. 5. 2025   8:30  - sekretariát</w:t>
      </w:r>
    </w:p>
    <w:p w14:paraId="3D7CC90D" w14:textId="77777777" w:rsidR="003B73A2" w:rsidRDefault="00A83A01">
      <w:pPr>
        <w:spacing w:line="100" w:lineRule="atLeast"/>
        <w:rPr>
          <w:b/>
          <w:bCs/>
        </w:rPr>
      </w:pPr>
      <w:r>
        <w:rPr>
          <w:b/>
          <w:bCs/>
        </w:rPr>
        <w:t>termíny na rok 2025:   26.6.</w:t>
      </w:r>
    </w:p>
    <w:p w14:paraId="7739C86B" w14:textId="77777777" w:rsidR="003B73A2" w:rsidRDefault="00A83A01">
      <w:pPr>
        <w:spacing w:line="100" w:lineRule="atLeast"/>
        <w:rPr>
          <w:b/>
          <w:bCs/>
        </w:rPr>
      </w:pPr>
      <w:r>
        <w:rPr>
          <w:b/>
          <w:bCs/>
        </w:rPr>
        <w:t xml:space="preserve">přítomni: Richtrová, Solná, Mercelová, Šáchová, </w:t>
      </w:r>
    </w:p>
    <w:p w14:paraId="7ECAA2C2" w14:textId="77777777" w:rsidR="003B73A2" w:rsidRDefault="00A83A01">
      <w:pPr>
        <w:spacing w:line="100" w:lineRule="atLeast"/>
        <w:rPr>
          <w:b/>
          <w:bCs/>
        </w:rPr>
      </w:pPr>
      <w:r>
        <w:rPr>
          <w:b/>
          <w:bCs/>
        </w:rPr>
        <w:t>omluvena Preissová</w:t>
      </w:r>
    </w:p>
    <w:p w14:paraId="3ED2F047" w14:textId="77777777" w:rsidR="003B73A2" w:rsidRDefault="00A83A01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3D589AC0" w14:textId="77777777" w:rsidR="003B73A2" w:rsidRDefault="00A83A01">
      <w:pPr>
        <w:spacing w:line="200" w:lineRule="atLeast"/>
        <w:rPr>
          <w:rFonts w:ascii="Arial" w:hAnsi="Arial" w:cs="Arial"/>
          <w:i/>
          <w:color w:val="000000"/>
        </w:rPr>
      </w:pPr>
      <w:r>
        <w:rPr>
          <w:b/>
          <w:bCs/>
        </w:rPr>
        <w:t>Richtrová:</w:t>
      </w:r>
    </w:p>
    <w:p w14:paraId="0B35921E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DLD – RADL.org . 17.10 Světový den DLD – vhodné připravit osvětovou akci – domluveno na srpen  - porada k sestavení plánu</w:t>
      </w:r>
    </w:p>
    <w:p w14:paraId="21333EA0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konference AKL Brno – předběžný program, 1 poster</w:t>
      </w:r>
    </w:p>
    <w:p w14:paraId="45F63CAB" w14:textId="180E8330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5/2025 – typová smlouva VZP pro KL a KP – Richtrová, Valentová – dá</w:t>
      </w:r>
      <w:r w:rsidR="00AA19B5" w:rsidRPr="00AA19B5">
        <w:rPr>
          <w:rFonts w:cs="Calibri"/>
          <w:iCs/>
          <w:color w:val="000000"/>
        </w:rPr>
        <w:t>no</w:t>
      </w:r>
      <w:r w:rsidRPr="00AA19B5">
        <w:rPr>
          <w:rFonts w:cs="Calibri"/>
          <w:iCs/>
          <w:color w:val="000000"/>
        </w:rPr>
        <w:t xml:space="preserve"> na web</w:t>
      </w:r>
    </w:p>
    <w:p w14:paraId="12823CF9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VŘ Zlín – Reichl, Vařáková</w:t>
      </w:r>
    </w:p>
    <w:p w14:paraId="2969CF8F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VŘ Jihomoravský kraj – Linhartová, Bubeníčková</w:t>
      </w:r>
    </w:p>
    <w:p w14:paraId="5B4C7624" w14:textId="77777777" w:rsidR="003B73A2" w:rsidRPr="00AA19B5" w:rsidRDefault="00A83A01">
      <w:pPr>
        <w:pStyle w:val="Zkladntext"/>
        <w:numPr>
          <w:ilvl w:val="0"/>
          <w:numId w:val="1"/>
        </w:numPr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2x hodinový seminář k úhradám – Valentová online  (v lednu k DŘ 2026) - 18.9. 2025 ČT  18 hodin; 25.9.2025  ČT18 h – Téma Úhradový vzorec 2025  - vždy cca 60 minut pro členy AKL zdarma</w:t>
      </w:r>
    </w:p>
    <w:p w14:paraId="1F5D3113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19.6 domluveno setkání v sněmovně – vyjasnění našich potřeb v legislativě</w:t>
      </w:r>
    </w:p>
    <w:p w14:paraId="55307241" w14:textId="733456A5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 xml:space="preserve">19.6 – online setkání </w:t>
      </w:r>
      <w:r w:rsidR="00AA19B5" w:rsidRPr="00AA19B5">
        <w:rPr>
          <w:rFonts w:cs="Calibri"/>
          <w:iCs/>
          <w:color w:val="000000"/>
        </w:rPr>
        <w:t xml:space="preserve">kolegů v předatestační přípravě </w:t>
      </w:r>
      <w:r w:rsidRPr="00AA19B5">
        <w:rPr>
          <w:rFonts w:cs="Calibri"/>
          <w:iCs/>
          <w:color w:val="000000"/>
        </w:rPr>
        <w:t>s předsedkyní</w:t>
      </w:r>
    </w:p>
    <w:p w14:paraId="3E9C04F9" w14:textId="52042041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 xml:space="preserve">5.5.2025 – Myslím, mluvím tedy jsem – seminář Dr. Koukolík a Dr. Pospíšilová </w:t>
      </w:r>
    </w:p>
    <w:p w14:paraId="0277AABD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pracovní skupina Baterie pro adolescenty s DLD – postupné vypracování pilotní verze podkladů</w:t>
      </w:r>
    </w:p>
    <w:p w14:paraId="43DDC5D0" w14:textId="697EE205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 xml:space="preserve">logo AKL na publikaci Richtrová, Nestávalová – rada </w:t>
      </w:r>
      <w:r w:rsidR="00AA19B5" w:rsidRPr="00AA19B5">
        <w:rPr>
          <w:rFonts w:cs="Calibri"/>
          <w:iCs/>
          <w:color w:val="000000"/>
        </w:rPr>
        <w:t>navrhuje,</w:t>
      </w:r>
      <w:r w:rsidRPr="00AA19B5">
        <w:rPr>
          <w:rFonts w:cs="Calibri"/>
          <w:iCs/>
          <w:color w:val="000000"/>
        </w:rPr>
        <w:t xml:space="preserve"> že cca 10 výtisků bude jako merch</w:t>
      </w:r>
    </w:p>
    <w:p w14:paraId="2DFA9C66" w14:textId="14B31548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Mgr. Blažková za MŠMT zasílá náhled</w:t>
      </w:r>
      <w:r w:rsidR="00AA19B5" w:rsidRPr="00AA19B5">
        <w:rPr>
          <w:rFonts w:cs="Calibri"/>
          <w:iCs/>
          <w:color w:val="000000"/>
        </w:rPr>
        <w:t>,</w:t>
      </w:r>
      <w:r w:rsidRPr="00AA19B5">
        <w:rPr>
          <w:rFonts w:cs="Calibri"/>
          <w:iCs/>
          <w:color w:val="000000"/>
        </w:rPr>
        <w:t xml:space="preserve"> jak jsou zapsány neurovývoj</w:t>
      </w:r>
      <w:r w:rsidR="00AA19B5" w:rsidRPr="00AA19B5">
        <w:rPr>
          <w:rFonts w:cs="Calibri"/>
          <w:iCs/>
          <w:color w:val="000000"/>
        </w:rPr>
        <w:t>o</w:t>
      </w:r>
      <w:r w:rsidRPr="00AA19B5">
        <w:rPr>
          <w:rFonts w:cs="Calibri"/>
          <w:iCs/>
          <w:color w:val="000000"/>
        </w:rPr>
        <w:t>vé poruchy, zejména DLD s převahou poruchy porozumění – žádost o korekci textu (píší vady řeči apod.) - již bez odezvy</w:t>
      </w:r>
    </w:p>
    <w:p w14:paraId="024ECBC0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napsán Dr. Včelíkové mail ohledně vymezení k textu v Logopedáriu – kompetence – zatím bez odezvy</w:t>
      </w:r>
    </w:p>
    <w:p w14:paraId="23EB3E4C" w14:textId="367B6AB8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předpřipravený text k tématu vyhlášky 72/2005 a kompetence dle Včelíkové – posláno Machovi</w:t>
      </w:r>
      <w:r w:rsidR="00AA19B5" w:rsidRPr="00AA19B5">
        <w:rPr>
          <w:rFonts w:cs="Calibri"/>
          <w:iCs/>
          <w:color w:val="000000"/>
        </w:rPr>
        <w:t>,</w:t>
      </w:r>
      <w:r w:rsidRPr="00AA19B5">
        <w:rPr>
          <w:rFonts w:cs="Calibri"/>
          <w:iCs/>
          <w:color w:val="000000"/>
        </w:rPr>
        <w:t xml:space="preserve"> zda nezvážit stížnost u ústavního soudu + vyvolat jednání na ministerstvech – Mach koriguje text – nyní pověřena Mercelová k nap</w:t>
      </w:r>
      <w:r w:rsidR="00AA19B5" w:rsidRPr="00AA19B5">
        <w:rPr>
          <w:rFonts w:cs="Calibri"/>
          <w:iCs/>
          <w:color w:val="000000"/>
        </w:rPr>
        <w:t>s</w:t>
      </w:r>
      <w:r w:rsidRPr="00AA19B5">
        <w:rPr>
          <w:rFonts w:cs="Calibri"/>
          <w:iCs/>
          <w:color w:val="000000"/>
        </w:rPr>
        <w:t>ání žádosti o setkání na MŠMT a dotaz na M zda se znovu otevře MP ke kompetencím, který byl zcela pozastaven</w:t>
      </w:r>
    </w:p>
    <w:p w14:paraId="12C1B046" w14:textId="2D613DD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PPP Kolín a přijetí ukrajinských dětí do péče – ubezpečeni, že KL přijímá pacienty do péče bez ohledu na jazyk a kulturu</w:t>
      </w:r>
    </w:p>
    <w:p w14:paraId="2B941C90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Vnitřní připomínkové řízení - Návrh vyhlášek o požadavcích na minimální personální zabezpečení zdravotních služeb a o požadavcích na minimální technické a věcné vybavení zdravotnických zařízení a kontaktních pracovišť  - Philippová, Solná, Mercelová – připomínky zpracovány do tabulky a poslány, pro jistotu poslán opakovaně i návrh na technické vybavení KL</w:t>
      </w:r>
    </w:p>
    <w:p w14:paraId="6C187D74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cs="Calibri"/>
          <w:iCs/>
          <w:color w:val="000000"/>
        </w:rPr>
        <w:t>vyjasnění diagnostiky KL pro psychology – pomoc kolegyně Tréglerové – možnost webináře pro klinické psychology (zajistí kolegyně Trégler) + aktivní účast na konferenci AKP  na podzim – zjistím u Dr. Jahnová, připravený text k diagnostickým kategoriím v KL</w:t>
      </w:r>
    </w:p>
    <w:p w14:paraId="0291AD60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 w:rsidRPr="00AA19B5">
        <w:rPr>
          <w:rFonts w:eastAsia="Arial" w:cs="Calibri"/>
          <w:iCs/>
          <w:color w:val="000000"/>
        </w:rPr>
        <w:t xml:space="preserve"> </w:t>
      </w:r>
      <w:r w:rsidRPr="00AA19B5">
        <w:rPr>
          <w:rFonts w:cs="Calibri"/>
          <w:iCs/>
          <w:color w:val="000000"/>
        </w:rPr>
        <w:t>OK – připravuje pro NIKEZ standard k DLD</w:t>
      </w:r>
    </w:p>
    <w:p w14:paraId="29B4F473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</w:rPr>
      </w:pPr>
      <w:r w:rsidRPr="00AA19B5">
        <w:rPr>
          <w:rFonts w:cs="Calibri"/>
          <w:iCs/>
          <w:color w:val="000000"/>
        </w:rPr>
        <w:t>V přípravě pracovní listy porozumění pro členy AKL</w:t>
      </w:r>
    </w:p>
    <w:p w14:paraId="1E129894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</w:rPr>
      </w:pPr>
      <w:r w:rsidRPr="00AA19B5">
        <w:rPr>
          <w:rFonts w:cs="Calibri"/>
          <w:iCs/>
          <w:color w:val="000000"/>
        </w:rPr>
        <w:t>V procesu Překlopení koncepce do šablon od MZ – velká pomoc Mgr. Horníkové, stále čekáme na doplněná data od UZIS</w:t>
      </w:r>
    </w:p>
    <w:p w14:paraId="4A74241B" w14:textId="77777777" w:rsidR="003B73A2" w:rsidRPr="00AA19B5" w:rsidRDefault="00A83A01">
      <w:pPr>
        <w:pStyle w:val="Zkladntext"/>
        <w:numPr>
          <w:ilvl w:val="0"/>
          <w:numId w:val="1"/>
        </w:numPr>
        <w:spacing w:after="0"/>
        <w:rPr>
          <w:rFonts w:cs="Calibri"/>
          <w:iCs/>
        </w:rPr>
      </w:pPr>
      <w:r w:rsidRPr="00AA19B5">
        <w:rPr>
          <w:rFonts w:cs="Calibri"/>
          <w:iCs/>
          <w:color w:val="000000"/>
        </w:rPr>
        <w:t>Nabídka 2 den kurzu - vhledu do Padovan metody (počet neomezen) nebo 4 denní Padovan s certifikátem pro max. 28 lidí</w:t>
      </w:r>
    </w:p>
    <w:p w14:paraId="6499FE71" w14:textId="77777777" w:rsidR="003B73A2" w:rsidRPr="00AA19B5" w:rsidRDefault="003B73A2">
      <w:pPr>
        <w:pStyle w:val="Zkladntext"/>
        <w:spacing w:after="0"/>
        <w:ind w:left="720"/>
        <w:rPr>
          <w:rFonts w:cs="Calibri"/>
          <w:iCs/>
          <w:sz w:val="24"/>
          <w:szCs w:val="24"/>
        </w:rPr>
      </w:pPr>
    </w:p>
    <w:p w14:paraId="02C31EB4" w14:textId="77777777" w:rsidR="003B73A2" w:rsidRDefault="00A83A01">
      <w:pPr>
        <w:spacing w:line="100" w:lineRule="atLeast"/>
        <w:rPr>
          <w:rFonts w:cs="Calibri"/>
        </w:rPr>
      </w:pPr>
      <w:r>
        <w:rPr>
          <w:rFonts w:cs="Calibri"/>
        </w:rPr>
        <w:t>Solná</w:t>
      </w:r>
    </w:p>
    <w:p w14:paraId="127D9737" w14:textId="7E5A3FA9" w:rsidR="003B73A2" w:rsidRDefault="00AA19B5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Prezenční kurz </w:t>
      </w:r>
      <w:r w:rsidR="00A83A01">
        <w:rPr>
          <w:rFonts w:cs="Calibri"/>
        </w:rPr>
        <w:t xml:space="preserve">Main </w:t>
      </w:r>
      <w:r>
        <w:rPr>
          <w:rFonts w:cs="Calibri"/>
        </w:rPr>
        <w:t xml:space="preserve">- </w:t>
      </w:r>
      <w:r w:rsidR="00A83A01">
        <w:rPr>
          <w:rFonts w:cs="Calibri"/>
        </w:rPr>
        <w:t>Ostrava</w:t>
      </w:r>
    </w:p>
    <w:p w14:paraId="771ED8D2" w14:textId="76B6610F" w:rsidR="003B73A2" w:rsidRDefault="00A83A01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screening </w:t>
      </w:r>
      <w:r w:rsidR="00AA19B5">
        <w:rPr>
          <w:rFonts w:cs="Calibri"/>
        </w:rPr>
        <w:t>– pokrač. v tvorbě webového portálu a přípravě pilotních položek</w:t>
      </w:r>
    </w:p>
    <w:p w14:paraId="7570D7D6" w14:textId="77777777" w:rsidR="003B73A2" w:rsidRDefault="003B73A2" w:rsidP="00AA19B5">
      <w:pPr>
        <w:spacing w:line="100" w:lineRule="atLeast"/>
        <w:ind w:left="720"/>
        <w:rPr>
          <w:rFonts w:cs="Calibri"/>
        </w:rPr>
      </w:pPr>
    </w:p>
    <w:p w14:paraId="05152E26" w14:textId="77777777" w:rsidR="003B73A2" w:rsidRDefault="003B73A2">
      <w:pPr>
        <w:spacing w:line="100" w:lineRule="atLeast"/>
        <w:rPr>
          <w:rFonts w:cs="Calibri"/>
        </w:rPr>
      </w:pPr>
    </w:p>
    <w:p w14:paraId="18980F98" w14:textId="77777777" w:rsidR="003B73A2" w:rsidRDefault="00A83A01">
      <w:pPr>
        <w:spacing w:line="100" w:lineRule="atLeast"/>
        <w:rPr>
          <w:rFonts w:cs="Calibri"/>
        </w:rPr>
      </w:pPr>
      <w:r>
        <w:rPr>
          <w:rFonts w:cs="Calibri"/>
        </w:rPr>
        <w:t>Mercelová</w:t>
      </w:r>
    </w:p>
    <w:p w14:paraId="1C9AFF01" w14:textId="77777777" w:rsidR="003B73A2" w:rsidRDefault="00A83A01">
      <w:pPr>
        <w:spacing w:line="100" w:lineRule="atLeast"/>
      </w:pPr>
      <w:r>
        <w:rPr>
          <w:rFonts w:cs="Calibri"/>
        </w:rPr>
        <w:t>- DIR Floortiem – Z. Camm – 2x online 12. a 19.9. – certifikát 101, po domluvení organizačních podrobností budou zveřejněny info o přihlašování členům</w:t>
      </w:r>
    </w:p>
    <w:p w14:paraId="01359977" w14:textId="77777777" w:rsidR="003B73A2" w:rsidRDefault="00A83A01">
      <w:pPr>
        <w:spacing w:line="100" w:lineRule="atLeast"/>
      </w:pPr>
      <w:r>
        <w:rPr>
          <w:rFonts w:cs="Calibri"/>
        </w:rPr>
        <w:t>- nový vedoucí subkatedry Foniatrie, pedaudiologie a klinické logopedie IPVZ – od 1.6. MUDr. Petra Kalitová, Ph.D.</w:t>
      </w:r>
    </w:p>
    <w:p w14:paraId="004D2461" w14:textId="77777777" w:rsidR="003B73A2" w:rsidRDefault="00A83A01">
      <w:pPr>
        <w:spacing w:line="100" w:lineRule="atLeast"/>
      </w:pPr>
      <w:r>
        <w:rPr>
          <w:rFonts w:cs="Calibri"/>
        </w:rPr>
        <w:t>- specializační vzdělávání – inovace Vzdělávacího programu specializačního vzdělávání v oboru klinická logopedie, nejpozději v průběhu července by měl být odeslaný na MZ</w:t>
      </w:r>
    </w:p>
    <w:p w14:paraId="2A794EEB" w14:textId="77777777" w:rsidR="003B73A2" w:rsidRDefault="00A83A01">
      <w:pPr>
        <w:spacing w:line="100" w:lineRule="atLeast"/>
        <w:rPr>
          <w:rFonts w:cs="Calibri"/>
        </w:rPr>
      </w:pPr>
      <w:r>
        <w:rPr>
          <w:rFonts w:cs="Calibri"/>
        </w:rPr>
        <w:t>- finalizace přehledu vzdělávacích akcí na období srpen 25 – leden 26</w:t>
      </w:r>
    </w:p>
    <w:p w14:paraId="0AD55CC2" w14:textId="77777777" w:rsidR="003B73A2" w:rsidRDefault="003B73A2">
      <w:pPr>
        <w:spacing w:line="100" w:lineRule="atLeast"/>
        <w:rPr>
          <w:rFonts w:cs="Calibri"/>
        </w:rPr>
      </w:pPr>
    </w:p>
    <w:p w14:paraId="36544236" w14:textId="77777777" w:rsidR="003B73A2" w:rsidRDefault="00A83A01">
      <w:pPr>
        <w:spacing w:line="100" w:lineRule="atLeast"/>
        <w:rPr>
          <w:rFonts w:cs="Calibri"/>
        </w:rPr>
      </w:pPr>
      <w:r>
        <w:rPr>
          <w:rFonts w:cs="Calibri"/>
        </w:rPr>
        <w:t>Šáchová</w:t>
      </w:r>
    </w:p>
    <w:p w14:paraId="61B34637" w14:textId="46E0C187" w:rsidR="00A83A01" w:rsidRPr="00A83A01" w:rsidRDefault="00A83A01" w:rsidP="00A83A01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Vystavovatelé konference AKL ČR, Brno  – aktuálně 13 vystavovatelů</w:t>
      </w:r>
    </w:p>
    <w:p w14:paraId="597CF33F" w14:textId="67902212" w:rsidR="003B73A2" w:rsidRDefault="00A83A01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 xml:space="preserve">DŘ k úhradám na rok 2026  – závěrečné jednání zástupců ZP a poskytovatelů segmentu ambulantních specialistů se bude konat dne 29.5.2025. </w:t>
      </w:r>
    </w:p>
    <w:p w14:paraId="7F42CD2C" w14:textId="0846F886" w:rsidR="00A83A01" w:rsidRPr="00AA19B5" w:rsidRDefault="00A83A01" w:rsidP="00A83A01">
      <w:pPr>
        <w:pStyle w:val="Odstavecseseznamem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u w:val="single"/>
          <w:lang w:eastAsia="cs-CZ"/>
        </w:rPr>
        <w:t xml:space="preserve">Společný návrh většiny zástupců poskytovatelů segmentu ambulantních specialistů (AS) pro jednání 29.5.2025 v rámci DŘ k úhradám na rok 2026. Základní požadavky pro jednání DŘ k úhradám na rok 2026, které byly již v úvodu DŘ předneseny zástupcům ZP. </w:t>
      </w:r>
    </w:p>
    <w:p w14:paraId="40C5FEE8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1. Ambulantní specializovaná péče již nesmí být neoprávněně finančně upozaďovaná. </w:t>
      </w:r>
    </w:p>
    <w:p w14:paraId="06D0CFBE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2. Financování zdravotní péče konečně nesmí být děleno na mandatorní a ostatní bez respektu k faktu, že závažnost jednotlivých diagnóz není daná jen speciálností jejich léčby. </w:t>
      </w:r>
    </w:p>
    <w:p w14:paraId="13BE6E1D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3. Peníze mají „jít za pacientem“, nikoli tam, kde není, kde jsou např. jen prázdná lůžka. </w:t>
      </w:r>
    </w:p>
    <w:p w14:paraId="0B9309F5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4. Systém úhrad péče AS musí být zásadním způsobem zjednodušen. Míra jeho komplikovanosti v roce 2025 přesáhla jakoukoli únosnou mez. </w:t>
      </w:r>
    </w:p>
    <w:p w14:paraId="22F1B10E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5. Polevit by měl současný universální tlak na „kolektivizaci“ ambulantní péče bez respektu k potřebám jednotlivých regionů a podmínkám pro poskytování péče ve všech odbornostech. </w:t>
      </w:r>
    </w:p>
    <w:p w14:paraId="2D2230A4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Ve financování by měly být hlavními kritérii dostupnost a kvalita, nikoli počet zdravotníků, kteří danou péči poskytují na jednom místě. </w:t>
      </w:r>
    </w:p>
    <w:p w14:paraId="13B0D328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6. Úhradové podmínky musí být nastaveny tak, že náklady na hrazenou péči nebudou přenášeny na poskytovatele a současně bude na straně smluvních poskytovatelů reálné usilovat o dosažení zisku. </w:t>
      </w:r>
    </w:p>
    <w:p w14:paraId="01A15544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7. Úhrady péče AS musí počítat s absolutním i relativním nárůstem počtu komplikovanějších a tedy nákladově dražších pacientů v našich ambulancích </w:t>
      </w:r>
    </w:p>
    <w:p w14:paraId="2550B9DE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8. S ohledem na postupnou změnu struktury ošetřovaných pacientů v ambulantní specializované péči ve smyslu zvyšování podílu komplikovanějších a léčebně náročnějších pacientů je třeba minimalizovat riziko dopadu regulací na ambulantní specialisty, včetně regulačních srážek za léky, zdravotnické prostředky a vyžádanou péči. </w:t>
      </w:r>
    </w:p>
    <w:p w14:paraId="24F73AEA" w14:textId="77777777" w:rsidR="00A83A01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9. Hodnota bodu odborností limitovaných úhradovým vzorcem by měla být sjednocena. </w:t>
      </w:r>
    </w:p>
    <w:p w14:paraId="14A4D15E" w14:textId="53968EBB" w:rsidR="003B73A2" w:rsidRPr="00AA19B5" w:rsidRDefault="00A83A01" w:rsidP="00A83A01">
      <w:pPr>
        <w:pStyle w:val="Odstavecseseznamem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 w:rsidRPr="00AA19B5">
        <w:rPr>
          <w:rFonts w:ascii="Times New Roman" w:eastAsia="Times New Roman" w:hAnsi="Times New Roman" w:cs="Times New Roman"/>
          <w:kern w:val="0"/>
          <w:lang w:eastAsia="cs-CZ"/>
        </w:rPr>
        <w:t xml:space="preserve">10. Bonifikace by měly obsahovat čistě a jen pozitivní motivaci bez stratifikace podle toho, jak dlouho jsou plněny. Přerušení jejich plnění nesmí být provázeno finančním postihem. </w:t>
      </w:r>
    </w:p>
    <w:p w14:paraId="0CEB319C" w14:textId="77777777" w:rsidR="00AA19B5" w:rsidRPr="00AA19B5" w:rsidRDefault="00AA19B5" w:rsidP="00AA19B5">
      <w:pPr>
        <w:pStyle w:val="Odstavecseseznamem"/>
        <w:spacing w:line="100" w:lineRule="atLeast"/>
        <w:rPr>
          <w:rFonts w:cs="Calibri"/>
        </w:rPr>
      </w:pPr>
    </w:p>
    <w:p w14:paraId="35DAD576" w14:textId="77777777" w:rsidR="00AA19B5" w:rsidRDefault="00AA19B5" w:rsidP="00AA19B5">
      <w:pPr>
        <w:pStyle w:val="Odstavecseseznamem"/>
        <w:numPr>
          <w:ilvl w:val="0"/>
          <w:numId w:val="3"/>
        </w:numPr>
        <w:spacing w:line="100" w:lineRule="atLeast"/>
      </w:pPr>
      <w:r>
        <w:t>Mudr. Jojko  za SAS a MUDr. Záleská bojují o podstatně větší navýšení – sjednocení hodnoty bodu, i a zachování bonifikací, převážně bonifikace za DŽV. A celkové zjednodušení úhradového vzorce. Zvýšit úhrady mimo DŘ je možné za jednotlivé odbornosti jednáním na ZP v rámci screeningů, nebo přepracováním výkonů s bodovým ohodnocením, to jde mimo DŘ. Touto cestou bychom také mohli na ZP jednat.</w:t>
      </w:r>
    </w:p>
    <w:p w14:paraId="273BD4A7" w14:textId="77777777" w:rsidR="00AA19B5" w:rsidRDefault="00AA19B5" w:rsidP="00AA19B5">
      <w:pPr>
        <w:pStyle w:val="Odstavecseseznamem"/>
        <w:numPr>
          <w:ilvl w:val="0"/>
          <w:numId w:val="3"/>
        </w:numPr>
        <w:spacing w:line="100" w:lineRule="atLeast"/>
      </w:pPr>
      <w:r>
        <w:t>Jednání probíhalo především mezi lékařskými odbornostmi, zvýšit HB se snažili nad rámec odsouhlaseného návrhu ČLK SAI SAS í zástupci dětské psychiatrie, MUDr. Kubek jednotlivé segmenty vyzval, aby se v jednání sjednotily a segmenty nebojovaly proti sobě, kdo by měl mít větší či menší úhradu.</w:t>
      </w:r>
    </w:p>
    <w:p w14:paraId="3D59DAC4" w14:textId="77777777" w:rsidR="00AA19B5" w:rsidRDefault="00AA19B5" w:rsidP="00AA19B5">
      <w:pPr>
        <w:pStyle w:val="Odstavecseseznamem"/>
        <w:numPr>
          <w:ilvl w:val="0"/>
          <w:numId w:val="3"/>
        </w:numPr>
        <w:spacing w:line="100" w:lineRule="atLeast"/>
      </w:pPr>
      <w:r>
        <w:t xml:space="preserve">To se nepotkalo, jelikož návrh SAS a ČLK je výhodnější, jednají za sjednocení hodnoty bodu napříč odbornostmi regulované úhradovým vzorcem, což je i naše 903. Ozývají se hlasy jednotlivých segmentů o </w:t>
      </w:r>
      <w:r>
        <w:lastRenderedPageBreak/>
        <w:t>navýšení při ošetřování dětských pacientů, což je oprávněné, zde se také můžeme argumentačně přidat – bude-li potřeba.</w:t>
      </w:r>
    </w:p>
    <w:p w14:paraId="3B2A71B6" w14:textId="77777777" w:rsidR="00AA19B5" w:rsidRDefault="00AA19B5" w:rsidP="00AA19B5">
      <w:pPr>
        <w:pStyle w:val="Odstavecseseznamem"/>
        <w:numPr>
          <w:ilvl w:val="0"/>
          <w:numId w:val="3"/>
        </w:numPr>
        <w:spacing w:line="100" w:lineRule="atLeast"/>
      </w:pPr>
      <w:r>
        <w:t>Ošetřování dětských pacientů se promítlo do navýšení bodového ohodnocení signálních výkonů, které jdou v úhradě mimo   výpočet úhrady úhradovým vzorcem. Řešila se regulační omezení a jejich uplatnění v rámci jednoho IČZ.</w:t>
      </w:r>
    </w:p>
    <w:p w14:paraId="66592B28" w14:textId="77777777" w:rsidR="00AA19B5" w:rsidRDefault="00AA19B5" w:rsidP="00AA19B5">
      <w:pPr>
        <w:pStyle w:val="Odstavecseseznamem"/>
        <w:spacing w:line="100" w:lineRule="atLeast"/>
      </w:pPr>
    </w:p>
    <w:p w14:paraId="05D987C9" w14:textId="30B4A98C" w:rsidR="00AA19B5" w:rsidRDefault="00C8432A" w:rsidP="00AA19B5">
      <w:pPr>
        <w:pStyle w:val="Odstavecseseznamem"/>
        <w:numPr>
          <w:ilvl w:val="0"/>
          <w:numId w:val="3"/>
        </w:numPr>
        <w:spacing w:line="100" w:lineRule="atLeast"/>
      </w:pPr>
      <w:r>
        <w:t xml:space="preserve">V návrhu pro 903 – základní hodnota bodu 0,88 + veškeré bonifikace – celkem 0,97 </w:t>
      </w:r>
      <w:r w:rsidR="00AA19B5">
        <w:t>a negativní bonifikace za nesplnění v referenci.</w:t>
      </w:r>
    </w:p>
    <w:p w14:paraId="053ACCDD" w14:textId="77777777" w:rsidR="00AA19B5" w:rsidRDefault="00AA19B5" w:rsidP="00AA19B5">
      <w:pPr>
        <w:pStyle w:val="Odstavecseseznamem"/>
        <w:numPr>
          <w:ilvl w:val="0"/>
          <w:numId w:val="3"/>
        </w:numPr>
        <w:spacing w:line="100" w:lineRule="atLeast"/>
      </w:pPr>
      <w:r>
        <w:t>Tato situace je nepřijatelná – nyní budou jednání segmentu řešit, co s tímto děsivým návrhem.</w:t>
      </w:r>
    </w:p>
    <w:p w14:paraId="1200D1FA" w14:textId="77777777" w:rsidR="003B73A2" w:rsidRPr="00AA19B5" w:rsidRDefault="003B73A2">
      <w:pPr>
        <w:spacing w:line="100" w:lineRule="atLeast"/>
        <w:rPr>
          <w:rFonts w:cs="Calibri"/>
        </w:rPr>
      </w:pPr>
    </w:p>
    <w:p w14:paraId="44841A98" w14:textId="77777777" w:rsidR="003B73A2" w:rsidRDefault="00A83A01">
      <w:pPr>
        <w:spacing w:line="100" w:lineRule="atLeast"/>
        <w:rPr>
          <w:rFonts w:cs="Calibri"/>
        </w:rPr>
      </w:pPr>
      <w:r>
        <w:rPr>
          <w:rFonts w:cs="Calibri"/>
        </w:rPr>
        <w:t>Preissová</w:t>
      </w:r>
    </w:p>
    <w:p w14:paraId="1AFD0A98" w14:textId="77777777" w:rsidR="003B73A2" w:rsidRDefault="00A83A01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Zaplaceno členství IALP na rok 2025</w:t>
      </w:r>
    </w:p>
    <w:p w14:paraId="788C26BB" w14:textId="77777777" w:rsidR="003B73A2" w:rsidRDefault="00A83A01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Odevzdání daně, hospodářský výsledek vyšel dobře</w:t>
      </w:r>
    </w:p>
    <w:p w14:paraId="33B6D902" w14:textId="77777777" w:rsidR="003B73A2" w:rsidRDefault="00A83A01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Neplatiči cca 20 lidí</w:t>
      </w:r>
    </w:p>
    <w:p w14:paraId="08AFEBFC" w14:textId="77777777" w:rsidR="003B73A2" w:rsidRDefault="00A83A01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Přefakturování nájmu za seminář Myslím, mluvím, tedy jsem</w:t>
      </w:r>
    </w:p>
    <w:p w14:paraId="5FFCD63F" w14:textId="77777777" w:rsidR="003B73A2" w:rsidRDefault="003B73A2">
      <w:pPr>
        <w:spacing w:line="100" w:lineRule="atLeast"/>
        <w:rPr>
          <w:rFonts w:cs="Calibri"/>
        </w:rPr>
      </w:pPr>
    </w:p>
    <w:p w14:paraId="01B41578" w14:textId="77777777" w:rsidR="003B73A2" w:rsidRDefault="003B73A2">
      <w:pPr>
        <w:spacing w:line="100" w:lineRule="atLeast"/>
        <w:rPr>
          <w:rFonts w:cs="Calibri"/>
        </w:rPr>
      </w:pPr>
    </w:p>
    <w:p w14:paraId="74A84341" w14:textId="77777777" w:rsidR="003B73A2" w:rsidRDefault="003B73A2">
      <w:pPr>
        <w:spacing w:line="100" w:lineRule="atLeast"/>
      </w:pPr>
    </w:p>
    <w:p w14:paraId="76290A53" w14:textId="77777777" w:rsidR="003B73A2" w:rsidRDefault="00A83A01">
      <w:pPr>
        <w:spacing w:line="100" w:lineRule="atLeast"/>
        <w:rPr>
          <w:rFonts w:cs="Calibri"/>
        </w:rPr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p w14:paraId="3F95FDAD" w14:textId="77777777" w:rsidR="003B73A2" w:rsidRDefault="003B73A2">
      <w:pPr>
        <w:spacing w:line="100" w:lineRule="atLeast"/>
      </w:pPr>
    </w:p>
    <w:sectPr w:rsidR="003B73A2"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altName w:val="Cambria"/>
    <w:panose1 w:val="00000000000000000000"/>
    <w:charset w:val="00"/>
    <w:family w:val="roman"/>
    <w:notTrueType/>
    <w:pitch w:val="default"/>
  </w:font>
  <w:font w:name="OpenSymbol;Yu Goth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7A10"/>
    <w:multiLevelType w:val="multilevel"/>
    <w:tmpl w:val="2A9AD4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317BF"/>
    <w:multiLevelType w:val="multilevel"/>
    <w:tmpl w:val="45006E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4FAA017A"/>
    <w:multiLevelType w:val="multilevel"/>
    <w:tmpl w:val="A3103A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</w:abstractNum>
  <w:abstractNum w:abstractNumId="3" w15:restartNumberingAfterBreak="0">
    <w:nsid w:val="7822783D"/>
    <w:multiLevelType w:val="multilevel"/>
    <w:tmpl w:val="01DEE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8085583">
    <w:abstractNumId w:val="2"/>
  </w:num>
  <w:num w:numId="2" w16cid:durableId="1578704527">
    <w:abstractNumId w:val="1"/>
  </w:num>
  <w:num w:numId="3" w16cid:durableId="840967031">
    <w:abstractNumId w:val="0"/>
  </w:num>
  <w:num w:numId="4" w16cid:durableId="51145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3A2"/>
    <w:rsid w:val="00000E72"/>
    <w:rsid w:val="00377B2C"/>
    <w:rsid w:val="003B73A2"/>
    <w:rsid w:val="00A83A01"/>
    <w:rsid w:val="00AA19B5"/>
    <w:rsid w:val="00C8432A"/>
    <w:rsid w:val="00E4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934B"/>
  <w15:docId w15:val="{61DF61B4-99ED-451E-A8B1-F975D56D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Symbol" w:hAnsi="Symbol" w:cs="OpenSymbol;Yu Gothic"/>
    </w:rPr>
  </w:style>
  <w:style w:type="character" w:customStyle="1" w:styleId="WW8Num3z0">
    <w:name w:val="WW8Num3z0"/>
    <w:qFormat/>
    <w:rPr>
      <w:rFonts w:ascii="Symbol" w:hAnsi="Symbol" w:cs="OpenSymbol;Yu Gothic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6z0">
    <w:name w:val="WW8Num6z0"/>
    <w:qFormat/>
    <w:rPr>
      <w:rFonts w:ascii="Calibri" w:eastAsia="SimSun;宋体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rFonts w:ascii="Symbol" w:hAnsi="Symbol" w:cs="OpenSymbol;Yu Gothic"/>
      <w:sz w:val="22"/>
      <w:szCs w:val="22"/>
    </w:rPr>
  </w:style>
  <w:style w:type="character" w:customStyle="1" w:styleId="WW8Num7z0">
    <w:name w:val="WW8Num7z0"/>
    <w:qFormat/>
    <w:rPr>
      <w:rFonts w:ascii="Symbol" w:hAnsi="Symbol" w:cs="OpenSymbol;Yu Gothic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Yu Gothic" w:eastAsia="OpenSymbol;Yu Gothic" w:hAnsi="OpenSymbol;Yu Gothic" w:cs="OpenSymbol;Yu Gothic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uiPriority w:val="99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1065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Richtrová</cp:lastModifiedBy>
  <cp:revision>4</cp:revision>
  <dcterms:created xsi:type="dcterms:W3CDTF">2025-05-25T17:58:00Z</dcterms:created>
  <dcterms:modified xsi:type="dcterms:W3CDTF">2025-05-26T19:00:00Z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2025-05-23T12:46:00Z</dcterms:created>
  <dc:creator>Manzelka Vsemohouciho</dc:creator>
  <dc:description/>
  <cp:keywords/>
  <dc:language>cs-CZ</dc:language>
  <cp:lastModifiedBy/>
  <dcterms:modified xsi:type="dcterms:W3CDTF">2025-05-25T18:04:33Z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