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212" w:rsidRPr="000869EC" w:rsidRDefault="00191212" w:rsidP="00191212">
      <w:pPr>
        <w:spacing w:after="0"/>
        <w:jc w:val="center"/>
        <w:rPr>
          <w:rFonts w:ascii="Arial" w:hAnsi="Arial" w:cs="Arial"/>
          <w:b/>
          <w:bCs/>
        </w:rPr>
      </w:pPr>
      <w:r w:rsidRPr="000869EC">
        <w:rPr>
          <w:rFonts w:ascii="Arial" w:hAnsi="Arial" w:cs="Arial"/>
          <w:b/>
          <w:bCs/>
        </w:rPr>
        <w:t xml:space="preserve">Výstupy </w:t>
      </w:r>
    </w:p>
    <w:p w:rsidR="00191212" w:rsidRPr="000869EC" w:rsidRDefault="00191212" w:rsidP="00191212">
      <w:pPr>
        <w:spacing w:after="0"/>
        <w:jc w:val="center"/>
        <w:rPr>
          <w:rFonts w:ascii="Arial" w:hAnsi="Arial" w:cs="Arial"/>
          <w:b/>
          <w:bCs/>
        </w:rPr>
      </w:pPr>
      <w:r w:rsidRPr="000869EC">
        <w:rPr>
          <w:rFonts w:ascii="Arial" w:hAnsi="Arial" w:cs="Arial"/>
          <w:b/>
          <w:bCs/>
        </w:rPr>
        <w:t xml:space="preserve">z přípravného jednání zástupců poskytovatelů segmentu AS </w:t>
      </w:r>
    </w:p>
    <w:p w:rsidR="00191212" w:rsidRPr="000869EC" w:rsidRDefault="00191212" w:rsidP="00191212">
      <w:pPr>
        <w:spacing w:after="0"/>
        <w:jc w:val="center"/>
        <w:rPr>
          <w:rFonts w:ascii="Arial" w:hAnsi="Arial" w:cs="Arial"/>
          <w:b/>
          <w:bCs/>
        </w:rPr>
      </w:pPr>
      <w:r w:rsidRPr="000869EC">
        <w:rPr>
          <w:rFonts w:ascii="Arial" w:hAnsi="Arial" w:cs="Arial"/>
          <w:b/>
          <w:bCs/>
        </w:rPr>
        <w:t xml:space="preserve">v rámci dohodovacího řízení o hodnotě bodu a výši úhrad </w:t>
      </w:r>
    </w:p>
    <w:p w:rsidR="005F7823" w:rsidRPr="000869EC" w:rsidRDefault="00191212" w:rsidP="00191212">
      <w:pPr>
        <w:spacing w:after="0"/>
        <w:jc w:val="center"/>
        <w:rPr>
          <w:rFonts w:ascii="Arial" w:hAnsi="Arial" w:cs="Arial"/>
          <w:b/>
          <w:bCs/>
        </w:rPr>
      </w:pPr>
      <w:r w:rsidRPr="000869EC">
        <w:rPr>
          <w:rFonts w:ascii="Arial" w:hAnsi="Arial" w:cs="Arial"/>
          <w:b/>
          <w:bCs/>
        </w:rPr>
        <w:t>na rok 2022</w:t>
      </w:r>
    </w:p>
    <w:p w:rsidR="00191212" w:rsidRPr="000869EC" w:rsidRDefault="00191212" w:rsidP="00191212">
      <w:pPr>
        <w:spacing w:after="0"/>
        <w:jc w:val="center"/>
        <w:rPr>
          <w:rFonts w:ascii="Arial" w:hAnsi="Arial" w:cs="Arial"/>
          <w:i/>
          <w:iCs/>
        </w:rPr>
      </w:pPr>
    </w:p>
    <w:p w:rsidR="00191212" w:rsidRPr="000869EC" w:rsidRDefault="00191212" w:rsidP="00191212">
      <w:pPr>
        <w:spacing w:after="0"/>
        <w:rPr>
          <w:rFonts w:ascii="Arial" w:hAnsi="Arial" w:cs="Arial"/>
        </w:rPr>
      </w:pPr>
    </w:p>
    <w:p w:rsidR="00191212" w:rsidRPr="000869EC" w:rsidRDefault="00191212" w:rsidP="00191212">
      <w:pPr>
        <w:spacing w:after="0"/>
        <w:rPr>
          <w:rFonts w:ascii="Arial" w:hAnsi="Arial" w:cs="Arial"/>
        </w:rPr>
      </w:pPr>
    </w:p>
    <w:p w:rsidR="00191212" w:rsidRPr="005A0715" w:rsidRDefault="00191212" w:rsidP="005A0715">
      <w:pPr>
        <w:pStyle w:val="Odstavecseseznamem"/>
        <w:numPr>
          <w:ilvl w:val="0"/>
          <w:numId w:val="7"/>
        </w:numPr>
        <w:spacing w:after="0"/>
        <w:rPr>
          <w:rFonts w:ascii="Arial" w:hAnsi="Arial" w:cs="Arial"/>
        </w:rPr>
      </w:pPr>
      <w:r w:rsidRPr="005A0715">
        <w:rPr>
          <w:rFonts w:ascii="Arial" w:hAnsi="Arial" w:cs="Arial"/>
        </w:rPr>
        <w:t>Koordinátorem segmentu</w:t>
      </w:r>
      <w:r w:rsidR="002B48C2">
        <w:rPr>
          <w:rFonts w:ascii="Arial" w:hAnsi="Arial" w:cs="Arial"/>
        </w:rPr>
        <w:t xml:space="preserve"> AS</w:t>
      </w:r>
      <w:r w:rsidRPr="005A0715">
        <w:rPr>
          <w:rFonts w:ascii="Arial" w:hAnsi="Arial" w:cs="Arial"/>
        </w:rPr>
        <w:t xml:space="preserve"> pro letošní rok byl zvolen:</w:t>
      </w:r>
      <w:r w:rsidR="000869EC" w:rsidRPr="005A0715">
        <w:rPr>
          <w:rFonts w:ascii="Arial" w:hAnsi="Arial" w:cs="Arial"/>
        </w:rPr>
        <w:t xml:space="preserve"> MUDr. Zorjan Jojko</w:t>
      </w:r>
    </w:p>
    <w:p w:rsidR="000869EC" w:rsidRPr="000869EC" w:rsidRDefault="000869EC" w:rsidP="000869EC">
      <w:pPr>
        <w:spacing w:after="0"/>
        <w:rPr>
          <w:rFonts w:ascii="Arial" w:hAnsi="Arial" w:cs="Arial"/>
        </w:rPr>
      </w:pPr>
    </w:p>
    <w:p w:rsidR="000869EC" w:rsidRPr="000869EC" w:rsidRDefault="000869EC" w:rsidP="000869EC">
      <w:pPr>
        <w:spacing w:after="0"/>
        <w:rPr>
          <w:rFonts w:ascii="Arial" w:hAnsi="Arial" w:cs="Arial"/>
        </w:rPr>
      </w:pPr>
    </w:p>
    <w:p w:rsidR="000869EC" w:rsidRPr="005A0715" w:rsidRDefault="000869EC" w:rsidP="005A0715">
      <w:pPr>
        <w:pStyle w:val="Odstavecseseznamem"/>
        <w:numPr>
          <w:ilvl w:val="0"/>
          <w:numId w:val="7"/>
        </w:numPr>
        <w:spacing w:after="0"/>
        <w:jc w:val="both"/>
        <w:rPr>
          <w:rFonts w:ascii="Arial" w:hAnsi="Arial" w:cs="Arial"/>
          <w:b/>
          <w:bCs/>
          <w:u w:val="single"/>
        </w:rPr>
      </w:pPr>
      <w:r w:rsidRPr="005A0715">
        <w:rPr>
          <w:rFonts w:ascii="Arial" w:hAnsi="Arial" w:cs="Arial"/>
          <w:b/>
          <w:bCs/>
          <w:u w:val="single"/>
        </w:rPr>
        <w:t>Požadavky zástupců poskytovatelů segmentu AS pro zahájení jednání DŘ 31.3.2021:</w:t>
      </w:r>
    </w:p>
    <w:p w:rsidR="000869EC" w:rsidRPr="000869EC" w:rsidRDefault="000869EC" w:rsidP="000869EC">
      <w:pPr>
        <w:spacing w:after="0"/>
        <w:rPr>
          <w:rFonts w:ascii="Arial" w:hAnsi="Arial" w:cs="Arial"/>
        </w:rPr>
      </w:pPr>
    </w:p>
    <w:p w:rsidR="000869EC" w:rsidRDefault="000869EC" w:rsidP="000869EC">
      <w:pPr>
        <w:spacing w:after="120" w:line="240" w:lineRule="auto"/>
        <w:jc w:val="both"/>
        <w:rPr>
          <w:rFonts w:ascii="Arial" w:hAnsi="Arial" w:cs="Arial"/>
          <w:b/>
          <w:color w:val="595959" w:themeColor="text1" w:themeTint="A6"/>
          <w:u w:val="single"/>
        </w:rPr>
      </w:pPr>
    </w:p>
    <w:p w:rsidR="000869EC" w:rsidRDefault="000869EC" w:rsidP="000869EC">
      <w:pPr>
        <w:pStyle w:val="Odstavecseseznamem"/>
        <w:numPr>
          <w:ilvl w:val="0"/>
          <w:numId w:val="3"/>
        </w:numPr>
        <w:spacing w:after="120" w:line="240" w:lineRule="auto"/>
        <w:jc w:val="both"/>
        <w:rPr>
          <w:rFonts w:ascii="Arial" w:hAnsi="Arial" w:cs="Arial"/>
          <w:color w:val="595959" w:themeColor="text1" w:themeTint="A6"/>
        </w:rPr>
      </w:pPr>
      <w:r w:rsidRPr="000869EC">
        <w:rPr>
          <w:rFonts w:ascii="Arial" w:hAnsi="Arial" w:cs="Arial"/>
          <w:b/>
          <w:color w:val="595959" w:themeColor="text1" w:themeTint="A6"/>
          <w:u w:val="single"/>
        </w:rPr>
        <w:t>Výkonová forma úhrady</w:t>
      </w:r>
      <w:r w:rsidRPr="000869EC">
        <w:rPr>
          <w:rFonts w:ascii="Arial" w:hAnsi="Arial" w:cs="Arial"/>
          <w:color w:val="595959" w:themeColor="text1" w:themeTint="A6"/>
        </w:rPr>
        <w:t xml:space="preserve"> pro poskytovatele, kteří splní současně všechna bonifikační </w:t>
      </w:r>
      <w:proofErr w:type="gramStart"/>
      <w:r w:rsidRPr="000869EC">
        <w:rPr>
          <w:rFonts w:ascii="Arial" w:hAnsi="Arial" w:cs="Arial"/>
          <w:color w:val="595959" w:themeColor="text1" w:themeTint="A6"/>
        </w:rPr>
        <w:t>kritéria</w:t>
      </w:r>
      <w:r w:rsidRPr="000869EC">
        <w:rPr>
          <w:rFonts w:ascii="Arial" w:hAnsi="Arial" w:cs="Arial"/>
          <w:color w:val="595959" w:themeColor="text1" w:themeTint="A6"/>
          <w:vertAlign w:val="superscript"/>
        </w:rPr>
        <w:t>(*)</w:t>
      </w:r>
      <w:r w:rsidRPr="000869EC">
        <w:rPr>
          <w:rFonts w:ascii="Arial" w:hAnsi="Arial" w:cs="Arial"/>
          <w:color w:val="595959" w:themeColor="text1" w:themeTint="A6"/>
        </w:rPr>
        <w:t xml:space="preserve"> s </w:t>
      </w:r>
      <w:r w:rsidRPr="000869EC">
        <w:rPr>
          <w:rFonts w:ascii="Arial" w:hAnsi="Arial" w:cs="Arial"/>
          <w:b/>
          <w:color w:val="595959" w:themeColor="text1" w:themeTint="A6"/>
        </w:rPr>
        <w:t>HB</w:t>
      </w:r>
      <w:proofErr w:type="gramEnd"/>
      <w:r w:rsidRPr="000869EC">
        <w:rPr>
          <w:rFonts w:ascii="Arial" w:hAnsi="Arial" w:cs="Arial"/>
          <w:b/>
          <w:color w:val="595959" w:themeColor="text1" w:themeTint="A6"/>
        </w:rPr>
        <w:t xml:space="preserve"> = 1,24 Kč</w:t>
      </w:r>
      <w:r w:rsidRPr="000869EC">
        <w:rPr>
          <w:rFonts w:ascii="Arial" w:hAnsi="Arial" w:cs="Arial"/>
          <w:color w:val="595959" w:themeColor="text1" w:themeTint="A6"/>
        </w:rPr>
        <w:t xml:space="preserve">. </w:t>
      </w:r>
    </w:p>
    <w:p w:rsidR="004B1650" w:rsidRDefault="004B1650" w:rsidP="004B1650">
      <w:pPr>
        <w:pStyle w:val="Odstavecseseznamem"/>
        <w:spacing w:after="120" w:line="240" w:lineRule="auto"/>
        <w:jc w:val="both"/>
        <w:rPr>
          <w:rFonts w:ascii="Arial" w:hAnsi="Arial" w:cs="Arial"/>
          <w:color w:val="595959" w:themeColor="text1" w:themeTint="A6"/>
        </w:rPr>
      </w:pPr>
    </w:p>
    <w:p w:rsidR="004B1650" w:rsidRPr="002B48C2" w:rsidRDefault="004B1650" w:rsidP="000869EC">
      <w:pPr>
        <w:pStyle w:val="Odstavecseseznamem"/>
        <w:numPr>
          <w:ilvl w:val="0"/>
          <w:numId w:val="3"/>
        </w:numPr>
        <w:spacing w:after="120" w:line="240" w:lineRule="auto"/>
        <w:jc w:val="both"/>
        <w:rPr>
          <w:rFonts w:ascii="Arial" w:hAnsi="Arial" w:cs="Arial"/>
        </w:rPr>
      </w:pPr>
      <w:r w:rsidRPr="002B48C2">
        <w:rPr>
          <w:rFonts w:ascii="Arial" w:hAnsi="Arial" w:cs="Arial"/>
        </w:rPr>
        <w:t xml:space="preserve">Přiměřené </w:t>
      </w:r>
      <w:r w:rsidR="00197FF3" w:rsidRPr="002B48C2">
        <w:rPr>
          <w:rFonts w:ascii="Arial" w:hAnsi="Arial" w:cs="Arial"/>
        </w:rPr>
        <w:t xml:space="preserve">(stejným procentem) </w:t>
      </w:r>
      <w:r w:rsidRPr="002B48C2">
        <w:rPr>
          <w:rFonts w:ascii="Arial" w:hAnsi="Arial" w:cs="Arial"/>
        </w:rPr>
        <w:t>navýšení hodnot bodů u oborů, jejichž výkony nejsou limitované úhradovým vzorcem</w:t>
      </w:r>
      <w:r w:rsidR="00197FF3" w:rsidRPr="002B48C2">
        <w:rPr>
          <w:rFonts w:ascii="Arial" w:hAnsi="Arial" w:cs="Arial"/>
        </w:rPr>
        <w:t>.</w:t>
      </w:r>
      <w:r w:rsidR="00197FF3">
        <w:rPr>
          <w:rFonts w:ascii="Arial" w:hAnsi="Arial" w:cs="Arial"/>
          <w:color w:val="595959" w:themeColor="text1" w:themeTint="A6"/>
        </w:rPr>
        <w:t xml:space="preserve"> </w:t>
      </w:r>
      <w:r w:rsidR="00197FF3" w:rsidRPr="002B48C2">
        <w:rPr>
          <w:rFonts w:ascii="Arial" w:hAnsi="Arial" w:cs="Arial"/>
        </w:rPr>
        <w:t>Hodnota bodu u psychiatrie a psychologie stejné výše, jako somatických oborů.</w:t>
      </w:r>
    </w:p>
    <w:p w:rsidR="004B1650" w:rsidRPr="002B48C2" w:rsidRDefault="004B1650" w:rsidP="004B1650">
      <w:pPr>
        <w:pStyle w:val="Odstavecseseznamem"/>
        <w:rPr>
          <w:rFonts w:ascii="Arial" w:hAnsi="Arial" w:cs="Arial"/>
        </w:rPr>
      </w:pPr>
    </w:p>
    <w:p w:rsidR="004B1650" w:rsidRPr="004B1650" w:rsidRDefault="004B1650" w:rsidP="004B1650">
      <w:pPr>
        <w:pStyle w:val="Odstavecseseznamem"/>
        <w:numPr>
          <w:ilvl w:val="0"/>
          <w:numId w:val="3"/>
        </w:numPr>
        <w:suppressAutoHyphens/>
        <w:spacing w:after="0" w:line="240" w:lineRule="auto"/>
        <w:contextualSpacing w:val="0"/>
        <w:jc w:val="both"/>
        <w:rPr>
          <w:rFonts w:ascii="Arial" w:hAnsi="Arial" w:cs="Arial"/>
        </w:rPr>
      </w:pPr>
      <w:r w:rsidRPr="000869EC">
        <w:rPr>
          <w:rFonts w:ascii="Arial" w:hAnsi="Arial" w:cs="Arial"/>
        </w:rPr>
        <w:t>Odbornosti</w:t>
      </w:r>
      <w:r w:rsidR="002E6931">
        <w:rPr>
          <w:rFonts w:ascii="Arial" w:hAnsi="Arial" w:cs="Arial"/>
        </w:rPr>
        <w:t>, které byly v roce hrazeny mimo limit vzorcem nadále ve stejném režimu.</w:t>
      </w:r>
    </w:p>
    <w:p w:rsidR="000869EC" w:rsidRDefault="000869EC" w:rsidP="000869EC">
      <w:pPr>
        <w:pStyle w:val="Odstavecseseznamem"/>
        <w:spacing w:after="120" w:line="240" w:lineRule="auto"/>
        <w:jc w:val="both"/>
        <w:rPr>
          <w:rFonts w:ascii="Arial" w:hAnsi="Arial" w:cs="Arial"/>
          <w:color w:val="595959" w:themeColor="text1" w:themeTint="A6"/>
        </w:rPr>
      </w:pPr>
    </w:p>
    <w:p w:rsidR="000869EC" w:rsidRPr="00E26E89" w:rsidRDefault="000869EC" w:rsidP="000869EC">
      <w:pPr>
        <w:pStyle w:val="Odstavecseseznamem"/>
        <w:numPr>
          <w:ilvl w:val="0"/>
          <w:numId w:val="3"/>
        </w:numPr>
        <w:spacing w:after="120" w:line="240" w:lineRule="auto"/>
        <w:jc w:val="both"/>
        <w:rPr>
          <w:rFonts w:ascii="Arial" w:hAnsi="Arial" w:cs="Arial"/>
          <w:color w:val="595959" w:themeColor="text1" w:themeTint="A6"/>
        </w:rPr>
      </w:pPr>
      <w:r w:rsidRPr="002B48C2">
        <w:rPr>
          <w:rFonts w:ascii="Arial" w:hAnsi="Arial" w:cs="Arial"/>
          <w:color w:val="FF0000"/>
        </w:rPr>
        <w:t xml:space="preserve">U výkonů distanční péče je </w:t>
      </w:r>
      <w:r w:rsidR="004B1650" w:rsidRPr="002B48C2">
        <w:rPr>
          <w:rFonts w:ascii="Arial" w:hAnsi="Arial" w:cs="Arial"/>
          <w:b/>
          <w:color w:val="FF0000"/>
        </w:rPr>
        <w:t>hodnota bodu minimálně</w:t>
      </w:r>
      <w:r w:rsidRPr="002B48C2">
        <w:rPr>
          <w:rFonts w:ascii="Arial" w:hAnsi="Arial" w:cs="Arial"/>
          <w:b/>
          <w:color w:val="FF0000"/>
        </w:rPr>
        <w:t xml:space="preserve"> 2 Kč</w:t>
      </w:r>
      <w:r w:rsidRPr="002B48C2">
        <w:rPr>
          <w:rFonts w:ascii="Arial" w:hAnsi="Arial" w:cs="Arial"/>
          <w:color w:val="FF0000"/>
        </w:rPr>
        <w:t>.</w:t>
      </w:r>
      <w:r w:rsidR="002E6931">
        <w:rPr>
          <w:rFonts w:ascii="Arial" w:hAnsi="Arial" w:cs="Arial"/>
          <w:color w:val="595959" w:themeColor="text1" w:themeTint="A6"/>
        </w:rPr>
        <w:t xml:space="preserve"> V této souvislosti považujeme za důležité, aby tyto výkony byly nastaveny odpovídajícím způsobem, tj. použitelně v praxi.</w:t>
      </w:r>
      <w:r w:rsidR="00CA5F7C">
        <w:rPr>
          <w:rFonts w:ascii="Arial" w:hAnsi="Arial" w:cs="Arial"/>
          <w:color w:val="595959" w:themeColor="text1" w:themeTint="A6"/>
        </w:rPr>
        <w:t xml:space="preserve"> </w:t>
      </w:r>
      <w:r w:rsidR="002B48C2" w:rsidRPr="002B48C2">
        <w:rPr>
          <w:rFonts w:ascii="Arial" w:hAnsi="Arial" w:cs="Arial"/>
          <w:color w:val="FF0000"/>
        </w:rPr>
        <w:t>Pro</w:t>
      </w:r>
      <w:r w:rsidR="00CA5F7C" w:rsidRPr="002B48C2">
        <w:rPr>
          <w:rFonts w:ascii="Arial" w:hAnsi="Arial" w:cs="Arial"/>
          <w:color w:val="FF0000"/>
        </w:rPr>
        <w:t xml:space="preserve"> o</w:t>
      </w:r>
      <w:r w:rsidR="00CA5F7C" w:rsidRPr="00CA5F7C">
        <w:rPr>
          <w:rFonts w:ascii="Arial" w:hAnsi="Arial" w:cs="Arial"/>
          <w:color w:val="FF0000"/>
        </w:rPr>
        <w:t>dbornost</w:t>
      </w:r>
      <w:r w:rsidR="002B48C2">
        <w:rPr>
          <w:rFonts w:ascii="Arial" w:hAnsi="Arial" w:cs="Arial"/>
          <w:color w:val="FF0000"/>
        </w:rPr>
        <w:t xml:space="preserve"> klinické logopedie je</w:t>
      </w:r>
      <w:r w:rsidR="00CA5F7C" w:rsidRPr="00CA5F7C">
        <w:rPr>
          <w:rFonts w:ascii="Arial" w:hAnsi="Arial" w:cs="Arial"/>
          <w:color w:val="FF0000"/>
        </w:rPr>
        <w:t xml:space="preserve"> nutn</w:t>
      </w:r>
      <w:r w:rsidR="002B48C2">
        <w:rPr>
          <w:rFonts w:ascii="Arial" w:hAnsi="Arial" w:cs="Arial"/>
          <w:color w:val="FF0000"/>
        </w:rPr>
        <w:t>é</w:t>
      </w:r>
      <w:r w:rsidR="00CA5F7C" w:rsidRPr="00CA5F7C">
        <w:rPr>
          <w:rFonts w:ascii="Arial" w:hAnsi="Arial" w:cs="Arial"/>
          <w:color w:val="FF0000"/>
        </w:rPr>
        <w:t xml:space="preserve"> i natažení časové dotace výkon</w:t>
      </w:r>
      <w:r w:rsidR="002B48C2">
        <w:rPr>
          <w:rFonts w:ascii="Arial" w:hAnsi="Arial" w:cs="Arial"/>
          <w:color w:val="FF0000"/>
        </w:rPr>
        <w:t>ů DT</w:t>
      </w:r>
      <w:r w:rsidR="00CA5F7C" w:rsidRPr="00CA5F7C">
        <w:rPr>
          <w:rFonts w:ascii="Arial" w:hAnsi="Arial" w:cs="Arial"/>
          <w:color w:val="FF0000"/>
        </w:rPr>
        <w:t xml:space="preserve"> na minimálně 30 minut</w:t>
      </w:r>
      <w:r w:rsidR="000D23E9">
        <w:rPr>
          <w:rFonts w:ascii="Arial" w:hAnsi="Arial" w:cs="Arial"/>
          <w:color w:val="595959" w:themeColor="text1" w:themeTint="A6"/>
        </w:rPr>
        <w:t xml:space="preserve"> </w:t>
      </w:r>
      <w:r w:rsidR="000D23E9" w:rsidRPr="000D23E9">
        <w:rPr>
          <w:rFonts w:ascii="Arial" w:hAnsi="Arial" w:cs="Arial"/>
          <w:color w:val="FF0000"/>
        </w:rPr>
        <w:t>i násobné zvýšení jejich frekvence užití</w:t>
      </w:r>
      <w:r w:rsidR="00E26E89">
        <w:rPr>
          <w:rFonts w:ascii="Arial" w:hAnsi="Arial" w:cs="Arial"/>
          <w:color w:val="FF0000"/>
        </w:rPr>
        <w:t>.</w:t>
      </w:r>
    </w:p>
    <w:p w:rsidR="00E26E89" w:rsidRPr="002B48C2" w:rsidRDefault="00E26E89" w:rsidP="00E26E89">
      <w:pPr>
        <w:pStyle w:val="Odstavecseseznamem"/>
        <w:rPr>
          <w:rFonts w:ascii="Arial" w:hAnsi="Arial" w:cs="Arial"/>
        </w:rPr>
      </w:pPr>
      <w:r w:rsidRPr="002B48C2">
        <w:rPr>
          <w:rFonts w:ascii="Arial" w:hAnsi="Arial" w:cs="Arial"/>
          <w:shd w:val="clear" w:color="auto" w:fill="FFFFFF"/>
        </w:rPr>
        <w:t>Pozn.: Při vysokém zastoupení seniorních pacientů v ambulancích řady oborů AS je kód SZP 09557 prakticky nepoužitelný.</w:t>
      </w:r>
    </w:p>
    <w:p w:rsidR="000869EC" w:rsidRPr="000869EC" w:rsidRDefault="000869EC" w:rsidP="000869EC">
      <w:pPr>
        <w:pStyle w:val="Odstavecseseznamem"/>
        <w:spacing w:after="120" w:line="240" w:lineRule="auto"/>
        <w:jc w:val="both"/>
        <w:rPr>
          <w:rFonts w:ascii="Arial" w:hAnsi="Arial" w:cs="Arial"/>
          <w:color w:val="595959" w:themeColor="text1" w:themeTint="A6"/>
        </w:rPr>
      </w:pPr>
    </w:p>
    <w:p w:rsidR="000869EC" w:rsidRPr="000869EC" w:rsidRDefault="000869EC" w:rsidP="000869EC">
      <w:pPr>
        <w:pStyle w:val="Odstavecseseznamem"/>
        <w:numPr>
          <w:ilvl w:val="0"/>
          <w:numId w:val="3"/>
        </w:numPr>
        <w:spacing w:after="0" w:line="240" w:lineRule="auto"/>
        <w:jc w:val="both"/>
        <w:rPr>
          <w:rFonts w:ascii="Arial" w:hAnsi="Arial" w:cs="Arial"/>
          <w:color w:val="595959" w:themeColor="text1" w:themeTint="A6"/>
        </w:rPr>
      </w:pPr>
      <w:r w:rsidRPr="000869EC">
        <w:rPr>
          <w:rFonts w:ascii="Arial" w:hAnsi="Arial" w:cs="Arial"/>
          <w:b/>
          <w:color w:val="595959" w:themeColor="text1" w:themeTint="A6"/>
          <w:u w:val="single"/>
        </w:rPr>
        <w:t xml:space="preserve">Úhrada regulovaná </w:t>
      </w:r>
      <w:proofErr w:type="spellStart"/>
      <w:r w:rsidRPr="000869EC">
        <w:rPr>
          <w:rFonts w:ascii="Arial" w:hAnsi="Arial" w:cs="Arial"/>
          <w:b/>
          <w:color w:val="595959" w:themeColor="text1" w:themeTint="A6"/>
          <w:u w:val="single"/>
        </w:rPr>
        <w:t>PUROo</w:t>
      </w:r>
      <w:proofErr w:type="spellEnd"/>
      <w:r w:rsidRPr="000869EC">
        <w:rPr>
          <w:rFonts w:ascii="Arial" w:hAnsi="Arial" w:cs="Arial"/>
          <w:color w:val="595959" w:themeColor="text1" w:themeTint="A6"/>
        </w:rPr>
        <w:t xml:space="preserve"> pro poskytovatele, kteří nesplní/splní částečně bonifikační </w:t>
      </w:r>
      <w:proofErr w:type="gramStart"/>
      <w:r w:rsidRPr="000869EC">
        <w:rPr>
          <w:rFonts w:ascii="Arial" w:hAnsi="Arial" w:cs="Arial"/>
          <w:color w:val="595959" w:themeColor="text1" w:themeTint="A6"/>
        </w:rPr>
        <w:t>kritéria</w:t>
      </w:r>
      <w:r w:rsidRPr="000869EC">
        <w:rPr>
          <w:rFonts w:ascii="Arial" w:hAnsi="Arial" w:cs="Arial"/>
          <w:color w:val="595959" w:themeColor="text1" w:themeTint="A6"/>
          <w:vertAlign w:val="superscript"/>
        </w:rPr>
        <w:t>(*)</w:t>
      </w:r>
      <w:r w:rsidRPr="000869EC">
        <w:rPr>
          <w:rFonts w:ascii="Arial" w:hAnsi="Arial" w:cs="Arial"/>
          <w:color w:val="595959" w:themeColor="text1" w:themeTint="A6"/>
        </w:rPr>
        <w:t>, se</w:t>
      </w:r>
      <w:proofErr w:type="gramEnd"/>
      <w:r w:rsidRPr="000869EC">
        <w:rPr>
          <w:rFonts w:ascii="Arial" w:hAnsi="Arial" w:cs="Arial"/>
          <w:color w:val="595959" w:themeColor="text1" w:themeTint="A6"/>
        </w:rPr>
        <w:t xml:space="preserve"> celková výše úhrady pro rok 2022 vypočte podle </w:t>
      </w:r>
      <w:r w:rsidRPr="000869EC">
        <w:rPr>
          <w:rFonts w:ascii="Arial" w:hAnsi="Arial" w:cs="Arial"/>
          <w:i/>
          <w:color w:val="595959" w:themeColor="text1" w:themeTint="A6"/>
        </w:rPr>
        <w:t>vzorce (význam proměnných je obdobný, jako ve vyhlášce č. 428/2020 Sb.)</w:t>
      </w:r>
      <w:r w:rsidRPr="000869EC">
        <w:rPr>
          <w:rFonts w:ascii="Arial" w:hAnsi="Arial" w:cs="Arial"/>
          <w:color w:val="595959" w:themeColor="text1" w:themeTint="A6"/>
        </w:rPr>
        <w:t xml:space="preserve">: </w:t>
      </w:r>
    </w:p>
    <w:p w:rsidR="000869EC" w:rsidRPr="000869EC" w:rsidRDefault="000869EC" w:rsidP="000869EC">
      <w:pPr>
        <w:jc w:val="both"/>
        <w:rPr>
          <w:rFonts w:ascii="Arial" w:hAnsi="Arial" w:cs="Arial"/>
          <w:color w:val="595959" w:themeColor="text1" w:themeTint="A6"/>
        </w:rPr>
      </w:pPr>
    </w:p>
    <w:p w:rsidR="000869EC" w:rsidRPr="000869EC" w:rsidRDefault="000869EC" w:rsidP="000869EC">
      <w:pPr>
        <w:jc w:val="center"/>
        <w:rPr>
          <w:rFonts w:ascii="Arial" w:hAnsi="Arial" w:cs="Arial"/>
          <w:b/>
          <w:color w:val="595959" w:themeColor="text1" w:themeTint="A6"/>
        </w:rPr>
      </w:pPr>
      <w:r w:rsidRPr="000869EC">
        <w:rPr>
          <w:rFonts w:ascii="Arial" w:hAnsi="Arial" w:cs="Arial"/>
          <w:b/>
          <w:bCs/>
          <w:iCs/>
          <w:color w:val="595959" w:themeColor="text1" w:themeTint="A6"/>
        </w:rPr>
        <w:t>(</w:t>
      </w:r>
      <w:r w:rsidRPr="002B48C2">
        <w:rPr>
          <w:rFonts w:ascii="Arial" w:hAnsi="Arial" w:cs="Arial"/>
          <w:b/>
          <w:bCs/>
          <w:iCs/>
          <w:color w:val="FF0000"/>
        </w:rPr>
        <w:t>1,12</w:t>
      </w:r>
      <w:r w:rsidRPr="000869EC">
        <w:rPr>
          <w:rFonts w:ascii="Arial" w:hAnsi="Arial" w:cs="Arial"/>
          <w:b/>
          <w:bCs/>
          <w:iCs/>
          <w:color w:val="595959" w:themeColor="text1" w:themeTint="A6"/>
        </w:rPr>
        <w:t xml:space="preserve"> + KN) x </w:t>
      </w:r>
      <w:r w:rsidRPr="000869EC" w:rsidDel="008C7900">
        <w:rPr>
          <w:rFonts w:ascii="Arial" w:hAnsi="Arial" w:cs="Arial"/>
          <w:b/>
          <w:bCs/>
          <w:iCs/>
          <w:color w:val="595959" w:themeColor="text1" w:themeTint="A6"/>
        </w:rPr>
        <w:t>(</w:t>
      </w:r>
      <w:proofErr w:type="spellStart"/>
      <w:r w:rsidRPr="000869EC">
        <w:rPr>
          <w:rFonts w:ascii="Arial" w:hAnsi="Arial" w:cs="Arial"/>
          <w:b/>
          <w:bCs/>
          <w:iCs/>
          <w:color w:val="595959" w:themeColor="text1" w:themeTint="A6"/>
        </w:rPr>
        <w:t>POPzpoZ</w:t>
      </w:r>
      <w:proofErr w:type="spellEnd"/>
      <w:r w:rsidRPr="000869EC">
        <w:rPr>
          <w:rFonts w:ascii="Arial" w:hAnsi="Arial" w:cs="Arial"/>
          <w:b/>
          <w:bCs/>
          <w:iCs/>
          <w:color w:val="595959" w:themeColor="text1" w:themeTint="A6"/>
        </w:rPr>
        <w:t xml:space="preserve"> x </w:t>
      </w:r>
      <w:proofErr w:type="spellStart"/>
      <w:r w:rsidRPr="000869EC">
        <w:rPr>
          <w:rFonts w:ascii="Arial" w:hAnsi="Arial" w:cs="Arial"/>
          <w:b/>
          <w:bCs/>
          <w:iCs/>
          <w:color w:val="595959" w:themeColor="text1" w:themeTint="A6"/>
        </w:rPr>
        <w:t>PUROo</w:t>
      </w:r>
      <w:proofErr w:type="spellEnd"/>
      <w:r w:rsidRPr="000869EC">
        <w:rPr>
          <w:rFonts w:ascii="Arial" w:hAnsi="Arial" w:cs="Arial"/>
          <w:b/>
          <w:bCs/>
          <w:iCs/>
          <w:color w:val="595959" w:themeColor="text1" w:themeTint="A6"/>
        </w:rPr>
        <w:t xml:space="preserve"> + </w:t>
      </w:r>
      <w:proofErr w:type="spellStart"/>
      <w:r w:rsidRPr="000869EC">
        <w:rPr>
          <w:rFonts w:ascii="Arial" w:hAnsi="Arial" w:cs="Arial"/>
          <w:b/>
          <w:bCs/>
          <w:iCs/>
          <w:color w:val="595959" w:themeColor="text1" w:themeTint="A6"/>
        </w:rPr>
        <w:t>max</w:t>
      </w:r>
      <w:proofErr w:type="spellEnd"/>
      <w:r w:rsidRPr="000869EC">
        <w:rPr>
          <w:rFonts w:ascii="Arial" w:hAnsi="Arial" w:cs="Arial"/>
          <w:b/>
          <w:bCs/>
          <w:iCs/>
          <w:color w:val="595959" w:themeColor="text1" w:themeTint="A6"/>
        </w:rPr>
        <w:t>[</w:t>
      </w:r>
      <w:proofErr w:type="spellStart"/>
      <w:r w:rsidRPr="000869EC">
        <w:rPr>
          <w:rFonts w:ascii="Arial" w:hAnsi="Arial" w:cs="Arial"/>
          <w:b/>
          <w:bCs/>
          <w:iCs/>
          <w:color w:val="595959" w:themeColor="text1" w:themeTint="A6"/>
        </w:rPr>
        <w:t>PUROo</w:t>
      </w:r>
      <w:proofErr w:type="spellEnd"/>
      <w:r w:rsidRPr="000869EC">
        <w:rPr>
          <w:rFonts w:ascii="Arial" w:hAnsi="Arial" w:cs="Arial"/>
          <w:b/>
          <w:bCs/>
          <w:iCs/>
          <w:color w:val="595959" w:themeColor="text1" w:themeTint="A6"/>
        </w:rPr>
        <w:t xml:space="preserve"> x </w:t>
      </w:r>
      <w:proofErr w:type="spellStart"/>
      <w:r w:rsidRPr="000869EC">
        <w:rPr>
          <w:rFonts w:ascii="Arial" w:hAnsi="Arial" w:cs="Arial"/>
          <w:b/>
          <w:bCs/>
          <w:color w:val="595959" w:themeColor="text1" w:themeTint="A6"/>
        </w:rPr>
        <w:t>POPzpoMh</w:t>
      </w:r>
      <w:proofErr w:type="spellEnd"/>
      <w:r w:rsidRPr="000869EC">
        <w:rPr>
          <w:rFonts w:ascii="Arial" w:hAnsi="Arial" w:cs="Arial"/>
          <w:b/>
          <w:bCs/>
          <w:iCs/>
          <w:color w:val="595959" w:themeColor="text1" w:themeTint="A6"/>
        </w:rPr>
        <w:t xml:space="preserve">; </w:t>
      </w:r>
      <w:proofErr w:type="spellStart"/>
      <w:r w:rsidRPr="000869EC">
        <w:rPr>
          <w:rFonts w:ascii="Arial" w:hAnsi="Arial" w:cs="Arial"/>
          <w:b/>
          <w:bCs/>
          <w:iCs/>
          <w:color w:val="595959" w:themeColor="text1" w:themeTint="A6"/>
        </w:rPr>
        <w:t>UHRMh</w:t>
      </w:r>
      <w:proofErr w:type="spellEnd"/>
      <w:r w:rsidRPr="000869EC">
        <w:rPr>
          <w:rFonts w:ascii="Arial" w:hAnsi="Arial" w:cs="Arial"/>
          <w:b/>
          <w:bCs/>
          <w:iCs/>
          <w:color w:val="595959" w:themeColor="text1" w:themeTint="A6"/>
        </w:rPr>
        <w:t xml:space="preserve"> – </w:t>
      </w:r>
      <w:proofErr w:type="spellStart"/>
      <w:r w:rsidRPr="000869EC">
        <w:rPr>
          <w:rFonts w:ascii="Arial" w:hAnsi="Arial" w:cs="Arial"/>
          <w:b/>
          <w:bCs/>
          <w:iCs/>
          <w:color w:val="595959" w:themeColor="text1" w:themeTint="A6"/>
        </w:rPr>
        <w:t>UHRMr</w:t>
      </w:r>
      <w:proofErr w:type="spellEnd"/>
      <w:r w:rsidRPr="000869EC">
        <w:rPr>
          <w:rFonts w:ascii="Arial" w:hAnsi="Arial" w:cs="Arial"/>
          <w:b/>
          <w:bCs/>
          <w:iCs/>
          <w:color w:val="595959" w:themeColor="text1" w:themeTint="A6"/>
        </w:rPr>
        <w:t>]</w:t>
      </w:r>
      <w:r w:rsidRPr="000869EC" w:rsidDel="008C7900">
        <w:rPr>
          <w:rFonts w:ascii="Arial" w:hAnsi="Arial" w:cs="Arial"/>
          <w:b/>
          <w:bCs/>
          <w:iCs/>
          <w:color w:val="595959" w:themeColor="text1" w:themeTint="A6"/>
        </w:rPr>
        <w:t>)</w:t>
      </w:r>
    </w:p>
    <w:p w:rsidR="000869EC" w:rsidRPr="000869EC" w:rsidRDefault="000869EC" w:rsidP="000869EC">
      <w:pPr>
        <w:rPr>
          <w:rFonts w:ascii="Arial" w:hAnsi="Arial" w:cs="Arial"/>
          <w:color w:val="595959" w:themeColor="text1" w:themeTint="A6"/>
        </w:rPr>
      </w:pPr>
    </w:p>
    <w:p w:rsidR="000869EC" w:rsidRPr="000869EC" w:rsidRDefault="000869EC" w:rsidP="000869EC">
      <w:pPr>
        <w:pStyle w:val="Odstavecseseznamem"/>
        <w:numPr>
          <w:ilvl w:val="1"/>
          <w:numId w:val="3"/>
        </w:numPr>
        <w:spacing w:after="0" w:line="240" w:lineRule="auto"/>
        <w:rPr>
          <w:rFonts w:ascii="Arial" w:hAnsi="Arial" w:cs="Arial"/>
          <w:color w:val="595959" w:themeColor="text1" w:themeTint="A6"/>
        </w:rPr>
      </w:pPr>
      <w:r w:rsidRPr="000869EC">
        <w:rPr>
          <w:rFonts w:ascii="Arial" w:hAnsi="Arial" w:cs="Arial"/>
          <w:color w:val="595959" w:themeColor="text1" w:themeTint="A6"/>
        </w:rPr>
        <w:t xml:space="preserve">Základní </w:t>
      </w:r>
      <w:r w:rsidRPr="000869EC">
        <w:rPr>
          <w:rFonts w:ascii="Arial" w:hAnsi="Arial" w:cs="Arial"/>
          <w:b/>
          <w:color w:val="595959" w:themeColor="text1" w:themeTint="A6"/>
        </w:rPr>
        <w:t>HB = 1,12 Kč</w:t>
      </w:r>
      <w:r w:rsidRPr="000869EC">
        <w:rPr>
          <w:rFonts w:ascii="Arial" w:hAnsi="Arial" w:cs="Arial"/>
          <w:color w:val="595959" w:themeColor="text1" w:themeTint="A6"/>
        </w:rPr>
        <w:t xml:space="preserve">, která se navýší v závislosti na splnění bonifikačních </w:t>
      </w:r>
      <w:proofErr w:type="gramStart"/>
      <w:r w:rsidRPr="000869EC">
        <w:rPr>
          <w:rFonts w:ascii="Arial" w:hAnsi="Arial" w:cs="Arial"/>
          <w:color w:val="595959" w:themeColor="text1" w:themeTint="A6"/>
        </w:rPr>
        <w:t>kritérií</w:t>
      </w:r>
      <w:r w:rsidRPr="000869EC">
        <w:rPr>
          <w:rFonts w:ascii="Arial" w:hAnsi="Arial" w:cs="Arial"/>
          <w:color w:val="595959" w:themeColor="text1" w:themeTint="A6"/>
          <w:vertAlign w:val="superscript"/>
        </w:rPr>
        <w:t>(*)</w:t>
      </w:r>
      <w:proofErr w:type="gramEnd"/>
    </w:p>
    <w:p w:rsidR="000869EC" w:rsidRPr="000869EC" w:rsidRDefault="000869EC" w:rsidP="000869EC">
      <w:pPr>
        <w:pStyle w:val="Odstavecseseznamem"/>
        <w:numPr>
          <w:ilvl w:val="1"/>
          <w:numId w:val="3"/>
        </w:numPr>
        <w:spacing w:after="120" w:line="240" w:lineRule="auto"/>
        <w:ind w:left="1434" w:hanging="357"/>
        <w:rPr>
          <w:rFonts w:ascii="Arial" w:hAnsi="Arial" w:cs="Arial"/>
          <w:color w:val="595959" w:themeColor="text1" w:themeTint="A6"/>
        </w:rPr>
      </w:pPr>
      <w:r w:rsidRPr="000869EC">
        <w:rPr>
          <w:rFonts w:ascii="Arial" w:hAnsi="Arial" w:cs="Arial"/>
          <w:color w:val="595959" w:themeColor="text1" w:themeTint="A6"/>
        </w:rPr>
        <w:t xml:space="preserve">Referenčním rokem bude 2019, pokud výsledná vypočtená hodnota </w:t>
      </w:r>
      <w:proofErr w:type="spellStart"/>
      <w:r w:rsidRPr="000869EC">
        <w:rPr>
          <w:rFonts w:ascii="Arial" w:hAnsi="Arial" w:cs="Arial"/>
          <w:color w:val="595959" w:themeColor="text1" w:themeTint="A6"/>
        </w:rPr>
        <w:t>PUROo</w:t>
      </w:r>
      <w:proofErr w:type="spellEnd"/>
      <w:r w:rsidRPr="000869EC">
        <w:rPr>
          <w:rFonts w:ascii="Arial" w:hAnsi="Arial" w:cs="Arial"/>
          <w:color w:val="595959" w:themeColor="text1" w:themeTint="A6"/>
        </w:rPr>
        <w:t xml:space="preserve"> bude vyšší než výsledná vypočtená hodnota </w:t>
      </w:r>
      <w:proofErr w:type="spellStart"/>
      <w:r w:rsidRPr="000869EC">
        <w:rPr>
          <w:rFonts w:ascii="Arial" w:hAnsi="Arial" w:cs="Arial"/>
          <w:color w:val="595959" w:themeColor="text1" w:themeTint="A6"/>
        </w:rPr>
        <w:t>PUROo</w:t>
      </w:r>
      <w:proofErr w:type="spellEnd"/>
      <w:r w:rsidRPr="000869EC">
        <w:rPr>
          <w:rFonts w:ascii="Arial" w:hAnsi="Arial" w:cs="Arial"/>
          <w:color w:val="595959" w:themeColor="text1" w:themeTint="A6"/>
        </w:rPr>
        <w:t xml:space="preserve"> v roce 2020. V opačném případě bude referenčním rokem 2020. </w:t>
      </w:r>
    </w:p>
    <w:p w:rsidR="000869EC" w:rsidRPr="000869EC" w:rsidRDefault="000869EC" w:rsidP="000869EC">
      <w:pPr>
        <w:pStyle w:val="Odstavecseseznamem"/>
        <w:numPr>
          <w:ilvl w:val="1"/>
          <w:numId w:val="3"/>
        </w:numPr>
        <w:spacing w:after="120" w:line="240" w:lineRule="auto"/>
        <w:ind w:left="1434" w:hanging="357"/>
        <w:rPr>
          <w:rFonts w:ascii="Arial" w:hAnsi="Arial" w:cs="Arial"/>
          <w:color w:val="595959" w:themeColor="text1" w:themeTint="A6"/>
        </w:rPr>
      </w:pPr>
      <w:r w:rsidRPr="000869EC">
        <w:rPr>
          <w:rFonts w:ascii="Arial" w:hAnsi="Arial" w:cs="Arial"/>
          <w:color w:val="595959" w:themeColor="text1" w:themeTint="A6"/>
        </w:rPr>
        <w:t xml:space="preserve">Hodnota </w:t>
      </w:r>
      <w:proofErr w:type="spellStart"/>
      <w:r w:rsidRPr="000869EC">
        <w:rPr>
          <w:rFonts w:ascii="Arial" w:hAnsi="Arial" w:cs="Arial"/>
          <w:color w:val="595959" w:themeColor="text1" w:themeTint="A6"/>
        </w:rPr>
        <w:t>PUROo</w:t>
      </w:r>
      <w:proofErr w:type="spellEnd"/>
      <w:r w:rsidRPr="000869EC">
        <w:rPr>
          <w:rFonts w:ascii="Arial" w:hAnsi="Arial" w:cs="Arial"/>
          <w:color w:val="595959" w:themeColor="text1" w:themeTint="A6"/>
        </w:rPr>
        <w:t xml:space="preserve"> se stanoví následovně: </w:t>
      </w:r>
    </w:p>
    <w:p w:rsidR="000869EC" w:rsidRPr="000869EC" w:rsidRDefault="00C52DC8" w:rsidP="000869EC">
      <w:pPr>
        <w:spacing w:after="120"/>
        <w:jc w:val="center"/>
        <w:rPr>
          <w:rFonts w:ascii="Arial" w:hAnsi="Arial" w:cs="Arial"/>
          <w:color w:val="595959" w:themeColor="text1" w:themeTint="A6"/>
        </w:rPr>
      </w:pPr>
      <m:oMathPara>
        <m:oMathParaPr>
          <m:jc m:val="center"/>
        </m:oMathParaPr>
        <m:oMath>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PURO</m:t>
              </m:r>
            </m:e>
            <m:sub>
              <m:r>
                <m:rPr>
                  <m:sty m:val="bi"/>
                </m:rPr>
                <w:rPr>
                  <w:rFonts w:ascii="Cambria Math" w:hAnsi="Cambria Math" w:cs="Arial"/>
                  <w:color w:val="595959" w:themeColor="text1" w:themeTint="A6"/>
                </w:rPr>
                <m:t>o</m:t>
              </m:r>
            </m:sub>
          </m:sSub>
          <m:r>
            <m:rPr>
              <m:sty m:val="bi"/>
            </m:rPr>
            <w:rPr>
              <w:rFonts w:ascii="Cambria Math" w:hAnsi="Cambria Math" w:cs="Arial"/>
              <w:color w:val="595959" w:themeColor="text1" w:themeTint="A6"/>
            </w:rPr>
            <m:t>=</m:t>
          </m:r>
          <m:f>
            <m:fPr>
              <m:ctrlPr>
                <w:rPr>
                  <w:rFonts w:ascii="Cambria Math" w:hAnsi="Cambria Math" w:cs="Arial"/>
                  <w:b/>
                  <w:i/>
                  <w:color w:val="595959" w:themeColor="text1" w:themeTint="A6"/>
                </w:rPr>
              </m:ctrlPr>
            </m:fPr>
            <m:num>
              <m:d>
                <m:dPr>
                  <m:ctrlPr>
                    <w:rPr>
                      <w:rFonts w:ascii="Cambria Math" w:hAnsi="Cambria Math" w:cs="Arial"/>
                      <w:b/>
                      <w:i/>
                      <w:color w:val="595959" w:themeColor="text1" w:themeTint="A6"/>
                    </w:rPr>
                  </m:ctrlPr>
                </m:dPr>
                <m:e>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PB</m:t>
                      </m:r>
                    </m:e>
                    <m:sub>
                      <m:r>
                        <m:rPr>
                          <m:sty m:val="bi"/>
                        </m:rPr>
                        <w:rPr>
                          <w:rFonts w:ascii="Cambria Math" w:hAnsi="Cambria Math" w:cs="Arial"/>
                          <w:color w:val="595959" w:themeColor="text1" w:themeTint="A6"/>
                        </w:rPr>
                        <m:t xml:space="preserve">PREPROo </m:t>
                      </m:r>
                    </m:sub>
                  </m:sSub>
                  <m:r>
                    <m:rPr>
                      <m:sty m:val="bi"/>
                    </m:rPr>
                    <w:rPr>
                      <w:rFonts w:ascii="Cambria Math" w:hAnsi="Cambria Math" w:cs="Arial"/>
                      <w:color w:val="595959" w:themeColor="text1" w:themeTint="A6"/>
                    </w:rPr>
                    <m:t xml:space="preserve">x </m:t>
                  </m:r>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HB</m:t>
                      </m:r>
                    </m:e>
                    <m:sub>
                      <m:r>
                        <m:rPr>
                          <m:sty m:val="bi"/>
                        </m:rPr>
                        <w:rPr>
                          <w:rFonts w:ascii="Cambria Math" w:hAnsi="Cambria Math" w:cs="Arial"/>
                          <w:color w:val="595959" w:themeColor="text1" w:themeTint="A6"/>
                        </w:rPr>
                        <m:t>ROo</m:t>
                      </m:r>
                    </m:sub>
                  </m:sSub>
                </m:e>
              </m:d>
              <m:r>
                <m:rPr>
                  <m:sty m:val="bi"/>
                </m:rPr>
                <w:rPr>
                  <w:rFonts w:ascii="Cambria Math" w:hAnsi="Cambria Math" w:cs="Arial"/>
                  <w:color w:val="595959" w:themeColor="text1" w:themeTint="A6"/>
                </w:rPr>
                <m:t xml:space="preserve">+ </m:t>
              </m:r>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ZUM</m:t>
                  </m:r>
                </m:e>
                <m:sub>
                  <m:r>
                    <m:rPr>
                      <m:sty m:val="bi"/>
                    </m:rPr>
                    <w:rPr>
                      <w:rFonts w:ascii="Cambria Math" w:hAnsi="Cambria Math" w:cs="Arial"/>
                      <w:color w:val="595959" w:themeColor="text1" w:themeTint="A6"/>
                    </w:rPr>
                    <m:t>ROo</m:t>
                  </m:r>
                </m:sub>
              </m:sSub>
              <m:r>
                <m:rPr>
                  <m:sty m:val="bi"/>
                </m:rPr>
                <w:rPr>
                  <w:rFonts w:ascii="Cambria Math" w:hAnsi="Cambria Math" w:cs="Arial"/>
                  <w:color w:val="595959" w:themeColor="text1" w:themeTint="A6"/>
                </w:rPr>
                <m:t>+</m:t>
              </m:r>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ZULP</m:t>
                  </m:r>
                </m:e>
                <m:sub>
                  <m:r>
                    <m:rPr>
                      <m:sty m:val="bi"/>
                    </m:rPr>
                    <w:rPr>
                      <w:rFonts w:ascii="Cambria Math" w:hAnsi="Cambria Math" w:cs="Arial"/>
                      <w:color w:val="595959" w:themeColor="text1" w:themeTint="A6"/>
                    </w:rPr>
                    <m:t>ROo</m:t>
                  </m:r>
                </m:sub>
              </m:sSub>
            </m:num>
            <m:den>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POP</m:t>
                  </m:r>
                </m:e>
                <m:sub>
                  <m:r>
                    <m:rPr>
                      <m:sty m:val="bi"/>
                    </m:rPr>
                    <w:rPr>
                      <w:rFonts w:ascii="Cambria Math" w:hAnsi="Cambria Math" w:cs="Arial"/>
                      <w:color w:val="595959" w:themeColor="text1" w:themeTint="A6"/>
                    </w:rPr>
                    <m:t>ROo</m:t>
                  </m:r>
                </m:sub>
              </m:sSub>
            </m:den>
          </m:f>
        </m:oMath>
      </m:oMathPara>
    </w:p>
    <w:p w:rsidR="000869EC" w:rsidRPr="000869EC" w:rsidRDefault="000869EC" w:rsidP="000869EC">
      <w:pPr>
        <w:spacing w:after="120"/>
        <w:ind w:left="1985" w:hanging="1559"/>
        <w:jc w:val="both"/>
        <w:rPr>
          <w:rFonts w:ascii="Arial" w:hAnsi="Arial" w:cs="Arial"/>
          <w:color w:val="595959" w:themeColor="text1" w:themeTint="A6"/>
        </w:rPr>
      </w:pPr>
      <w:proofErr w:type="spellStart"/>
      <w:r w:rsidRPr="000869EC">
        <w:rPr>
          <w:rFonts w:ascii="Arial" w:hAnsi="Arial" w:cs="Arial"/>
          <w:b/>
          <w:bCs/>
          <w:iCs/>
          <w:color w:val="595959" w:themeColor="text1" w:themeTint="A6"/>
        </w:rPr>
        <w:t>PB</w:t>
      </w:r>
      <w:r w:rsidRPr="000869EC">
        <w:rPr>
          <w:rFonts w:ascii="Arial" w:hAnsi="Arial" w:cs="Arial"/>
          <w:b/>
          <w:bCs/>
          <w:iCs/>
          <w:color w:val="595959" w:themeColor="text1" w:themeTint="A6"/>
          <w:vertAlign w:val="subscript"/>
        </w:rPr>
        <w:t>PREPROo</w:t>
      </w:r>
      <w:proofErr w:type="spellEnd"/>
      <w:r w:rsidRPr="000869EC">
        <w:rPr>
          <w:rFonts w:ascii="Arial" w:hAnsi="Arial" w:cs="Arial"/>
          <w:b/>
          <w:color w:val="595959" w:themeColor="text1" w:themeTint="A6"/>
        </w:rPr>
        <w:tab/>
      </w:r>
      <w:r w:rsidRPr="000869EC">
        <w:rPr>
          <w:rFonts w:ascii="Arial" w:hAnsi="Arial" w:cs="Arial"/>
          <w:color w:val="595959" w:themeColor="text1" w:themeTint="A6"/>
        </w:rPr>
        <w:t>je celkový počet bodů za vykázané a zdravotní pojišťovnou uznané výkony v dané odbornosti poskytnuté v referenčním období přepočtený podle seznamu výkonů ve znění účinném v hodnoceném období.</w:t>
      </w:r>
    </w:p>
    <w:p w:rsidR="000869EC" w:rsidRPr="000869EC" w:rsidRDefault="000869EC" w:rsidP="000869EC">
      <w:pPr>
        <w:spacing w:after="120"/>
        <w:ind w:left="1985" w:hanging="1559"/>
        <w:jc w:val="both"/>
        <w:rPr>
          <w:rFonts w:ascii="Arial" w:hAnsi="Arial" w:cs="Arial"/>
          <w:color w:val="595959" w:themeColor="text1" w:themeTint="A6"/>
        </w:rPr>
      </w:pPr>
      <w:proofErr w:type="spellStart"/>
      <w:r w:rsidRPr="000869EC">
        <w:rPr>
          <w:rFonts w:ascii="Arial" w:hAnsi="Arial" w:cs="Arial"/>
          <w:b/>
          <w:bCs/>
          <w:iCs/>
          <w:color w:val="595959" w:themeColor="text1" w:themeTint="A6"/>
        </w:rPr>
        <w:t>HB</w:t>
      </w:r>
      <w:r w:rsidRPr="000869EC">
        <w:rPr>
          <w:rFonts w:ascii="Arial" w:hAnsi="Arial" w:cs="Arial"/>
          <w:b/>
          <w:bCs/>
          <w:iCs/>
          <w:color w:val="595959" w:themeColor="text1" w:themeTint="A6"/>
          <w:vertAlign w:val="subscript"/>
        </w:rPr>
        <w:t>ROo</w:t>
      </w:r>
      <w:proofErr w:type="spellEnd"/>
      <w:r w:rsidRPr="000869EC">
        <w:rPr>
          <w:rFonts w:ascii="Arial" w:hAnsi="Arial" w:cs="Arial"/>
          <w:b/>
          <w:color w:val="595959" w:themeColor="text1" w:themeTint="A6"/>
        </w:rPr>
        <w:tab/>
      </w:r>
      <w:r w:rsidRPr="000869EC">
        <w:rPr>
          <w:rFonts w:ascii="Arial" w:hAnsi="Arial" w:cs="Arial"/>
          <w:color w:val="595959" w:themeColor="text1" w:themeTint="A6"/>
        </w:rPr>
        <w:t>je hodnota bodu poskytovatele v dané odbornosti v referenčním období stanovená následovně:</w:t>
      </w:r>
    </w:p>
    <w:p w:rsidR="000869EC" w:rsidRPr="000869EC" w:rsidRDefault="00C52DC8" w:rsidP="000869EC">
      <w:pPr>
        <w:spacing w:after="120"/>
        <w:ind w:left="1985" w:hanging="1559"/>
        <w:jc w:val="center"/>
        <w:rPr>
          <w:rFonts w:ascii="Arial" w:hAnsi="Arial" w:cs="Arial"/>
          <w:b/>
          <w:color w:val="595959" w:themeColor="text1" w:themeTint="A6"/>
        </w:rPr>
      </w:pPr>
      <m:oMathPara>
        <m:oMath>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HB</m:t>
              </m:r>
            </m:e>
            <m:sub>
              <m:r>
                <m:rPr>
                  <m:sty m:val="bi"/>
                </m:rPr>
                <w:rPr>
                  <w:rFonts w:ascii="Cambria Math" w:hAnsi="Cambria Math" w:cs="Arial"/>
                  <w:color w:val="595959" w:themeColor="text1" w:themeTint="A6"/>
                </w:rPr>
                <m:t>ROo</m:t>
              </m:r>
            </m:sub>
          </m:sSub>
          <m:r>
            <m:rPr>
              <m:sty m:val="bi"/>
            </m:rPr>
            <w:rPr>
              <w:rFonts w:ascii="Cambria Math" w:hAnsi="Cambria Math" w:cs="Arial"/>
              <w:color w:val="595959" w:themeColor="text1" w:themeTint="A6"/>
            </w:rPr>
            <m:t>=</m:t>
          </m:r>
          <m:f>
            <m:fPr>
              <m:ctrlPr>
                <w:rPr>
                  <w:rFonts w:ascii="Cambria Math" w:hAnsi="Cambria Math" w:cs="Arial"/>
                  <w:b/>
                  <w:i/>
                  <w:color w:val="595959" w:themeColor="text1" w:themeTint="A6"/>
                </w:rPr>
              </m:ctrlPr>
            </m:fPr>
            <m:num>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UHR</m:t>
                  </m:r>
                </m:e>
                <m:sub>
                  <m:r>
                    <m:rPr>
                      <m:sty m:val="bi"/>
                    </m:rPr>
                    <w:rPr>
                      <w:rFonts w:ascii="Cambria Math" w:hAnsi="Cambria Math" w:cs="Arial"/>
                      <w:color w:val="595959" w:themeColor="text1" w:themeTint="A6"/>
                    </w:rPr>
                    <m:t>ROo</m:t>
                  </m:r>
                </m:sub>
              </m:sSub>
              <m:r>
                <m:rPr>
                  <m:sty m:val="bi"/>
                </m:rPr>
                <w:rPr>
                  <w:rFonts w:ascii="Cambria Math" w:hAnsi="Cambria Math" w:cs="Arial"/>
                  <w:color w:val="595959" w:themeColor="text1" w:themeTint="A6"/>
                </w:rPr>
                <m:t xml:space="preserve">- </m:t>
              </m:r>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ZUM</m:t>
                  </m:r>
                </m:e>
                <m:sub>
                  <m:r>
                    <m:rPr>
                      <m:sty m:val="bi"/>
                    </m:rPr>
                    <w:rPr>
                      <w:rFonts w:ascii="Cambria Math" w:hAnsi="Cambria Math" w:cs="Arial"/>
                      <w:color w:val="595959" w:themeColor="text1" w:themeTint="A6"/>
                    </w:rPr>
                    <m:t>ROo</m:t>
                  </m:r>
                </m:sub>
              </m:sSub>
              <m:r>
                <m:rPr>
                  <m:sty m:val="bi"/>
                </m:rPr>
                <w:rPr>
                  <w:rFonts w:ascii="Cambria Math" w:hAnsi="Cambria Math" w:cs="Arial"/>
                  <w:color w:val="595959" w:themeColor="text1" w:themeTint="A6"/>
                </w:rPr>
                <m:t xml:space="preserve">- </m:t>
              </m:r>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ZULP</m:t>
                  </m:r>
                </m:e>
                <m:sub>
                  <m:r>
                    <m:rPr>
                      <m:sty m:val="bi"/>
                    </m:rPr>
                    <w:rPr>
                      <w:rFonts w:ascii="Cambria Math" w:hAnsi="Cambria Math" w:cs="Arial"/>
                      <w:color w:val="595959" w:themeColor="text1" w:themeTint="A6"/>
                    </w:rPr>
                    <m:t>ROo</m:t>
                  </m:r>
                </m:sub>
              </m:sSub>
            </m:num>
            <m:den>
              <m:sSub>
                <m:sSubPr>
                  <m:ctrlPr>
                    <w:rPr>
                      <w:rFonts w:ascii="Cambria Math" w:hAnsi="Cambria Math" w:cs="Arial"/>
                      <w:b/>
                      <w:i/>
                      <w:color w:val="595959" w:themeColor="text1" w:themeTint="A6"/>
                    </w:rPr>
                  </m:ctrlPr>
                </m:sSubPr>
                <m:e>
                  <m:r>
                    <m:rPr>
                      <m:sty m:val="bi"/>
                    </m:rPr>
                    <w:rPr>
                      <w:rFonts w:ascii="Cambria Math" w:hAnsi="Cambria Math" w:cs="Arial"/>
                      <w:color w:val="595959" w:themeColor="text1" w:themeTint="A6"/>
                    </w:rPr>
                    <m:t>PB</m:t>
                  </m:r>
                </m:e>
                <m:sub>
                  <m:r>
                    <m:rPr>
                      <m:sty m:val="bi"/>
                    </m:rPr>
                    <w:rPr>
                      <w:rFonts w:ascii="Cambria Math" w:hAnsi="Cambria Math" w:cs="Arial"/>
                      <w:color w:val="595959" w:themeColor="text1" w:themeTint="A6"/>
                    </w:rPr>
                    <m:t>ROo</m:t>
                  </m:r>
                </m:sub>
              </m:sSub>
            </m:den>
          </m:f>
        </m:oMath>
      </m:oMathPara>
    </w:p>
    <w:p w:rsidR="000869EC" w:rsidRPr="000869EC" w:rsidRDefault="000869EC" w:rsidP="000869EC">
      <w:pPr>
        <w:spacing w:after="120"/>
        <w:ind w:left="1985" w:hanging="1559"/>
        <w:rPr>
          <w:rFonts w:ascii="Arial" w:hAnsi="Arial" w:cs="Arial"/>
          <w:bCs/>
          <w:iCs/>
          <w:color w:val="595959" w:themeColor="text1" w:themeTint="A6"/>
          <w:lang w:val="en-US"/>
        </w:rPr>
      </w:pPr>
      <w:r w:rsidRPr="000869EC">
        <w:rPr>
          <w:rFonts w:ascii="Arial" w:hAnsi="Arial" w:cs="Arial"/>
          <w:bCs/>
          <w:iCs/>
          <w:color w:val="595959" w:themeColor="text1" w:themeTint="A6"/>
        </w:rPr>
        <w:tab/>
      </w:r>
      <w:proofErr w:type="spellStart"/>
      <w:r w:rsidRPr="000869EC">
        <w:rPr>
          <w:rFonts w:ascii="Arial" w:hAnsi="Arial" w:cs="Arial"/>
          <w:bCs/>
          <w:iCs/>
          <w:color w:val="595959" w:themeColor="text1" w:themeTint="A6"/>
          <w:lang w:val="en-US"/>
        </w:rPr>
        <w:t>Pokud</w:t>
      </w:r>
      <w:proofErr w:type="spellEnd"/>
      <w:r w:rsidRPr="000869EC">
        <w:rPr>
          <w:rFonts w:ascii="Arial" w:hAnsi="Arial" w:cs="Arial"/>
          <w:bCs/>
          <w:iCs/>
          <w:color w:val="595959" w:themeColor="text1" w:themeTint="A6"/>
          <w:lang w:val="en-US"/>
        </w:rPr>
        <w:t xml:space="preserve"> </w:t>
      </w:r>
      <w:proofErr w:type="spellStart"/>
      <w:r w:rsidRPr="000869EC">
        <w:rPr>
          <w:rFonts w:ascii="Arial" w:hAnsi="Arial" w:cs="Arial"/>
          <w:bCs/>
          <w:iCs/>
          <w:color w:val="595959" w:themeColor="text1" w:themeTint="A6"/>
          <w:lang w:val="en-US"/>
        </w:rPr>
        <w:t>HB</w:t>
      </w:r>
      <w:r w:rsidRPr="000869EC">
        <w:rPr>
          <w:rFonts w:ascii="Arial" w:hAnsi="Arial" w:cs="Arial"/>
          <w:bCs/>
          <w:iCs/>
          <w:color w:val="595959" w:themeColor="text1" w:themeTint="A6"/>
          <w:vertAlign w:val="subscript"/>
          <w:lang w:val="en-US"/>
        </w:rPr>
        <w:t>ROo</w:t>
      </w:r>
      <w:proofErr w:type="spellEnd"/>
      <w:r w:rsidRPr="000869EC">
        <w:rPr>
          <w:rFonts w:ascii="Arial" w:hAnsi="Arial" w:cs="Arial"/>
          <w:bCs/>
          <w:iCs/>
          <w:color w:val="595959" w:themeColor="text1" w:themeTint="A6"/>
          <w:lang w:val="en-US"/>
        </w:rPr>
        <w:t xml:space="preserve"> &lt; 1, </w:t>
      </w:r>
      <w:proofErr w:type="spellStart"/>
      <w:r w:rsidRPr="000869EC">
        <w:rPr>
          <w:rFonts w:ascii="Arial" w:hAnsi="Arial" w:cs="Arial"/>
          <w:bCs/>
          <w:iCs/>
          <w:color w:val="595959" w:themeColor="text1" w:themeTint="A6"/>
          <w:lang w:val="en-US"/>
        </w:rPr>
        <w:t>vstupuje</w:t>
      </w:r>
      <w:proofErr w:type="spellEnd"/>
      <w:r w:rsidRPr="000869EC">
        <w:rPr>
          <w:rFonts w:ascii="Arial" w:hAnsi="Arial" w:cs="Arial"/>
          <w:bCs/>
          <w:iCs/>
          <w:color w:val="595959" w:themeColor="text1" w:themeTint="A6"/>
          <w:lang w:val="en-US"/>
        </w:rPr>
        <w:t xml:space="preserve"> do </w:t>
      </w:r>
      <w:proofErr w:type="spellStart"/>
      <w:r w:rsidRPr="000869EC">
        <w:rPr>
          <w:rFonts w:ascii="Arial" w:hAnsi="Arial" w:cs="Arial"/>
          <w:bCs/>
          <w:iCs/>
          <w:color w:val="595959" w:themeColor="text1" w:themeTint="A6"/>
          <w:lang w:val="en-US"/>
        </w:rPr>
        <w:t>výpočtu</w:t>
      </w:r>
      <w:proofErr w:type="spellEnd"/>
      <w:r w:rsidRPr="000869EC">
        <w:rPr>
          <w:rFonts w:ascii="Arial" w:hAnsi="Arial" w:cs="Arial"/>
          <w:bCs/>
          <w:iCs/>
          <w:color w:val="595959" w:themeColor="text1" w:themeTint="A6"/>
          <w:lang w:val="en-US"/>
        </w:rPr>
        <w:t xml:space="preserve"> </w:t>
      </w:r>
      <w:proofErr w:type="spellStart"/>
      <w:r w:rsidRPr="000869EC">
        <w:rPr>
          <w:rFonts w:ascii="Arial" w:hAnsi="Arial" w:cs="Arial"/>
          <w:bCs/>
          <w:iCs/>
          <w:color w:val="595959" w:themeColor="text1" w:themeTint="A6"/>
          <w:lang w:val="en-US"/>
        </w:rPr>
        <w:t>PUROo</w:t>
      </w:r>
      <w:proofErr w:type="spellEnd"/>
      <w:r w:rsidRPr="000869EC">
        <w:rPr>
          <w:rFonts w:ascii="Arial" w:hAnsi="Arial" w:cs="Arial"/>
          <w:bCs/>
          <w:iCs/>
          <w:color w:val="595959" w:themeColor="text1" w:themeTint="A6"/>
          <w:lang w:val="en-US"/>
        </w:rPr>
        <w:t xml:space="preserve"> </w:t>
      </w:r>
      <w:proofErr w:type="spellStart"/>
      <w:r w:rsidRPr="000869EC">
        <w:rPr>
          <w:rFonts w:ascii="Arial" w:hAnsi="Arial" w:cs="Arial"/>
          <w:bCs/>
          <w:iCs/>
          <w:color w:val="595959" w:themeColor="text1" w:themeTint="A6"/>
          <w:lang w:val="en-US"/>
        </w:rPr>
        <w:t>hodnota</w:t>
      </w:r>
      <w:proofErr w:type="spellEnd"/>
      <w:r w:rsidRPr="000869EC">
        <w:rPr>
          <w:rFonts w:ascii="Arial" w:hAnsi="Arial" w:cs="Arial"/>
          <w:bCs/>
          <w:iCs/>
          <w:color w:val="595959" w:themeColor="text1" w:themeTint="A6"/>
          <w:lang w:val="en-US"/>
        </w:rPr>
        <w:t xml:space="preserve"> </w:t>
      </w:r>
      <w:proofErr w:type="spellStart"/>
      <w:r w:rsidRPr="000869EC">
        <w:rPr>
          <w:rFonts w:ascii="Arial" w:hAnsi="Arial" w:cs="Arial"/>
          <w:bCs/>
          <w:iCs/>
          <w:color w:val="595959" w:themeColor="text1" w:themeTint="A6"/>
          <w:lang w:val="en-US"/>
        </w:rPr>
        <w:t>HB</w:t>
      </w:r>
      <w:r w:rsidRPr="000869EC">
        <w:rPr>
          <w:rFonts w:ascii="Arial" w:hAnsi="Arial" w:cs="Arial"/>
          <w:bCs/>
          <w:iCs/>
          <w:color w:val="595959" w:themeColor="text1" w:themeTint="A6"/>
          <w:vertAlign w:val="subscript"/>
          <w:lang w:val="en-US"/>
        </w:rPr>
        <w:t>ROo</w:t>
      </w:r>
      <w:proofErr w:type="spellEnd"/>
      <w:r w:rsidRPr="000869EC">
        <w:rPr>
          <w:rFonts w:ascii="Arial" w:hAnsi="Arial" w:cs="Arial"/>
          <w:bCs/>
          <w:iCs/>
          <w:color w:val="595959" w:themeColor="text1" w:themeTint="A6"/>
          <w:lang w:val="en-US"/>
        </w:rPr>
        <w:t xml:space="preserve"> = 1.</w:t>
      </w:r>
    </w:p>
    <w:p w:rsidR="000869EC" w:rsidRPr="000869EC" w:rsidRDefault="000869EC" w:rsidP="000869EC">
      <w:pPr>
        <w:spacing w:after="120"/>
        <w:ind w:left="2124" w:hanging="1698"/>
        <w:jc w:val="both"/>
        <w:rPr>
          <w:rFonts w:ascii="Arial" w:hAnsi="Arial" w:cs="Arial"/>
          <w:color w:val="595959" w:themeColor="text1" w:themeTint="A6"/>
        </w:rPr>
      </w:pPr>
      <w:proofErr w:type="spellStart"/>
      <w:r w:rsidRPr="000869EC">
        <w:rPr>
          <w:rFonts w:ascii="Arial" w:hAnsi="Arial" w:cs="Arial"/>
          <w:b/>
          <w:bCs/>
          <w:iCs/>
          <w:color w:val="595959" w:themeColor="text1" w:themeTint="A6"/>
        </w:rPr>
        <w:t>UHR</w:t>
      </w:r>
      <w:r w:rsidRPr="000869EC">
        <w:rPr>
          <w:rFonts w:ascii="Arial" w:hAnsi="Arial" w:cs="Arial"/>
          <w:b/>
          <w:bCs/>
          <w:iCs/>
          <w:color w:val="595959" w:themeColor="text1" w:themeTint="A6"/>
          <w:vertAlign w:val="subscript"/>
        </w:rPr>
        <w:t>ROo</w:t>
      </w:r>
      <w:proofErr w:type="spellEnd"/>
      <w:r w:rsidRPr="000869EC">
        <w:rPr>
          <w:rFonts w:ascii="Arial" w:hAnsi="Arial" w:cs="Arial"/>
          <w:b/>
          <w:color w:val="595959" w:themeColor="text1" w:themeTint="A6"/>
        </w:rPr>
        <w:tab/>
      </w:r>
      <w:r w:rsidRPr="000869EC">
        <w:rPr>
          <w:rFonts w:ascii="Arial" w:hAnsi="Arial" w:cs="Arial"/>
          <w:color w:val="595959" w:themeColor="text1" w:themeTint="A6"/>
        </w:rPr>
        <w:t>je celková výše úhrady poskytovatele v dané odbornosti v referenčním období.</w:t>
      </w:r>
    </w:p>
    <w:p w:rsidR="000869EC" w:rsidRPr="000869EC" w:rsidRDefault="000869EC" w:rsidP="000869EC">
      <w:pPr>
        <w:spacing w:after="120"/>
        <w:ind w:left="2124" w:hanging="1698"/>
        <w:jc w:val="both"/>
        <w:rPr>
          <w:rFonts w:ascii="Arial" w:hAnsi="Arial" w:cs="Arial"/>
          <w:color w:val="595959" w:themeColor="text1" w:themeTint="A6"/>
        </w:rPr>
      </w:pPr>
      <w:proofErr w:type="spellStart"/>
      <w:r w:rsidRPr="000869EC">
        <w:rPr>
          <w:rFonts w:ascii="Arial" w:hAnsi="Arial" w:cs="Arial"/>
          <w:b/>
          <w:bCs/>
          <w:iCs/>
          <w:color w:val="595959" w:themeColor="text1" w:themeTint="A6"/>
        </w:rPr>
        <w:t>PB</w:t>
      </w:r>
      <w:r w:rsidRPr="000869EC">
        <w:rPr>
          <w:rFonts w:ascii="Arial" w:hAnsi="Arial" w:cs="Arial"/>
          <w:b/>
          <w:bCs/>
          <w:iCs/>
          <w:color w:val="595959" w:themeColor="text1" w:themeTint="A6"/>
          <w:vertAlign w:val="subscript"/>
        </w:rPr>
        <w:t>ROo</w:t>
      </w:r>
      <w:proofErr w:type="spellEnd"/>
      <w:r w:rsidRPr="000869EC">
        <w:rPr>
          <w:rFonts w:ascii="Arial" w:hAnsi="Arial" w:cs="Arial"/>
          <w:b/>
          <w:color w:val="595959" w:themeColor="text1" w:themeTint="A6"/>
        </w:rPr>
        <w:tab/>
      </w:r>
      <w:r w:rsidRPr="000869EC">
        <w:rPr>
          <w:rFonts w:ascii="Arial" w:hAnsi="Arial" w:cs="Arial"/>
          <w:color w:val="595959" w:themeColor="text1" w:themeTint="A6"/>
        </w:rPr>
        <w:t>je celkový počet bodů za vykázané a zdravotní pojišťovnou uznané výkony v dané odbornosti poskytnuté v referenčním období podle seznamu výkonů ve znění účinném v referenčním období.</w:t>
      </w:r>
    </w:p>
    <w:p w:rsidR="000869EC" w:rsidRPr="000869EC" w:rsidRDefault="000869EC" w:rsidP="000869EC">
      <w:pPr>
        <w:spacing w:after="120"/>
        <w:ind w:left="2124" w:hanging="1698"/>
        <w:jc w:val="both"/>
        <w:rPr>
          <w:rFonts w:ascii="Arial" w:hAnsi="Arial" w:cs="Arial"/>
          <w:color w:val="595959" w:themeColor="text1" w:themeTint="A6"/>
        </w:rPr>
      </w:pPr>
      <w:proofErr w:type="spellStart"/>
      <w:r w:rsidRPr="000869EC">
        <w:rPr>
          <w:rFonts w:ascii="Arial" w:hAnsi="Arial" w:cs="Arial"/>
          <w:b/>
          <w:bCs/>
          <w:iCs/>
          <w:color w:val="595959" w:themeColor="text1" w:themeTint="A6"/>
        </w:rPr>
        <w:t>ZUM</w:t>
      </w:r>
      <w:r w:rsidRPr="000869EC">
        <w:rPr>
          <w:rFonts w:ascii="Arial" w:hAnsi="Arial" w:cs="Arial"/>
          <w:b/>
          <w:bCs/>
          <w:iCs/>
          <w:color w:val="595959" w:themeColor="text1" w:themeTint="A6"/>
          <w:vertAlign w:val="subscript"/>
        </w:rPr>
        <w:t>ROo</w:t>
      </w:r>
      <w:proofErr w:type="spellEnd"/>
      <w:r w:rsidRPr="000869EC">
        <w:rPr>
          <w:rFonts w:ascii="Arial" w:hAnsi="Arial" w:cs="Arial"/>
          <w:b/>
          <w:color w:val="595959" w:themeColor="text1" w:themeTint="A6"/>
        </w:rPr>
        <w:tab/>
      </w:r>
      <w:r w:rsidRPr="000869EC">
        <w:rPr>
          <w:rFonts w:ascii="Arial" w:hAnsi="Arial" w:cs="Arial"/>
          <w:color w:val="595959" w:themeColor="text1" w:themeTint="A6"/>
        </w:rPr>
        <w:t>je úhrada za zvlášť účtovaný materiál v dané odbornosti za referenční období</w:t>
      </w:r>
      <w:r w:rsidRPr="000869EC">
        <w:rPr>
          <w:rFonts w:ascii="Arial" w:hAnsi="Arial" w:cs="Arial"/>
          <w:bCs/>
          <w:color w:val="595959" w:themeColor="text1" w:themeTint="A6"/>
        </w:rPr>
        <w:t>.</w:t>
      </w:r>
    </w:p>
    <w:p w:rsidR="000869EC" w:rsidRPr="000869EC" w:rsidRDefault="000869EC" w:rsidP="000869EC">
      <w:pPr>
        <w:spacing w:after="120"/>
        <w:ind w:left="2124" w:hanging="1698"/>
        <w:jc w:val="both"/>
        <w:rPr>
          <w:rFonts w:ascii="Arial" w:hAnsi="Arial" w:cs="Arial"/>
          <w:color w:val="595959" w:themeColor="text1" w:themeTint="A6"/>
        </w:rPr>
      </w:pPr>
      <w:proofErr w:type="spellStart"/>
      <w:r w:rsidRPr="000869EC">
        <w:rPr>
          <w:rFonts w:ascii="Arial" w:hAnsi="Arial" w:cs="Arial"/>
          <w:b/>
          <w:bCs/>
          <w:iCs/>
          <w:color w:val="595959" w:themeColor="text1" w:themeTint="A6"/>
        </w:rPr>
        <w:t>ZULP</w:t>
      </w:r>
      <w:r w:rsidRPr="000869EC">
        <w:rPr>
          <w:rFonts w:ascii="Arial" w:hAnsi="Arial" w:cs="Arial"/>
          <w:b/>
          <w:bCs/>
          <w:iCs/>
          <w:color w:val="595959" w:themeColor="text1" w:themeTint="A6"/>
          <w:vertAlign w:val="subscript"/>
        </w:rPr>
        <w:t>ROo</w:t>
      </w:r>
      <w:proofErr w:type="spellEnd"/>
      <w:r w:rsidRPr="000869EC">
        <w:rPr>
          <w:rFonts w:ascii="Arial" w:hAnsi="Arial" w:cs="Arial"/>
          <w:b/>
          <w:color w:val="595959" w:themeColor="text1" w:themeTint="A6"/>
        </w:rPr>
        <w:tab/>
      </w:r>
      <w:r w:rsidRPr="000869EC">
        <w:rPr>
          <w:rFonts w:ascii="Arial" w:hAnsi="Arial" w:cs="Arial"/>
          <w:color w:val="595959" w:themeColor="text1" w:themeTint="A6"/>
        </w:rPr>
        <w:t>je úhrada za zvlášť účtované léčivé přípravky v dané odbornosti za referenční období.</w:t>
      </w:r>
    </w:p>
    <w:p w:rsidR="000869EC" w:rsidRPr="000869EC" w:rsidRDefault="000869EC" w:rsidP="000869EC">
      <w:pPr>
        <w:ind w:left="2124" w:hanging="1698"/>
        <w:jc w:val="both"/>
        <w:rPr>
          <w:rFonts w:ascii="Arial" w:hAnsi="Arial" w:cs="Arial"/>
          <w:color w:val="595959" w:themeColor="text1" w:themeTint="A6"/>
        </w:rPr>
      </w:pPr>
      <w:proofErr w:type="spellStart"/>
      <w:r w:rsidRPr="000869EC">
        <w:rPr>
          <w:rFonts w:ascii="Arial" w:hAnsi="Arial" w:cs="Arial"/>
          <w:b/>
          <w:bCs/>
          <w:iCs/>
          <w:color w:val="595959" w:themeColor="text1" w:themeTint="A6"/>
        </w:rPr>
        <w:t>POP</w:t>
      </w:r>
      <w:r w:rsidRPr="000869EC">
        <w:rPr>
          <w:rFonts w:ascii="Arial" w:hAnsi="Arial" w:cs="Arial"/>
          <w:b/>
          <w:bCs/>
          <w:iCs/>
          <w:color w:val="595959" w:themeColor="text1" w:themeTint="A6"/>
          <w:vertAlign w:val="subscript"/>
        </w:rPr>
        <w:t>ROo</w:t>
      </w:r>
      <w:proofErr w:type="spellEnd"/>
      <w:r w:rsidRPr="000869EC">
        <w:rPr>
          <w:rFonts w:ascii="Arial" w:hAnsi="Arial" w:cs="Arial"/>
          <w:b/>
          <w:color w:val="595959" w:themeColor="text1" w:themeTint="A6"/>
        </w:rPr>
        <w:tab/>
      </w:r>
      <w:r w:rsidRPr="000869EC">
        <w:rPr>
          <w:rFonts w:ascii="Arial" w:hAnsi="Arial" w:cs="Arial"/>
          <w:color w:val="595959" w:themeColor="text1" w:themeTint="A6"/>
        </w:rPr>
        <w:t xml:space="preserve">je počet unikátních pojištěnců ošetřených v dané odbornosti v referenčním období; do </w:t>
      </w:r>
      <w:r w:rsidRPr="000869EC">
        <w:rPr>
          <w:rFonts w:ascii="Arial" w:hAnsi="Arial" w:cs="Arial"/>
          <w:bCs/>
          <w:color w:val="595959" w:themeColor="text1" w:themeTint="A6"/>
        </w:rPr>
        <w:t>počtu unikátních pojištěnců se nezahrnou unikátní pojištěnci, na které byl vykázán pouze výkon č. </w:t>
      </w:r>
      <w:r w:rsidRPr="000869EC">
        <w:rPr>
          <w:rFonts w:ascii="Arial" w:hAnsi="Arial" w:cs="Arial"/>
          <w:color w:val="595959" w:themeColor="text1" w:themeTint="A6"/>
        </w:rPr>
        <w:t>09513 podle seznamu výkonů.</w:t>
      </w:r>
    </w:p>
    <w:p w:rsidR="000869EC" w:rsidRPr="000869EC" w:rsidRDefault="000869EC" w:rsidP="000869EC">
      <w:pPr>
        <w:spacing w:after="120" w:line="252" w:lineRule="auto"/>
        <w:rPr>
          <w:rFonts w:ascii="Arial" w:hAnsi="Arial" w:cs="Arial"/>
          <w:color w:val="595959" w:themeColor="text1" w:themeTint="A6"/>
        </w:rPr>
      </w:pPr>
    </w:p>
    <w:p w:rsidR="000869EC" w:rsidRPr="000869EC" w:rsidRDefault="000869EC" w:rsidP="000869EC">
      <w:pPr>
        <w:spacing w:after="120" w:line="252" w:lineRule="auto"/>
        <w:rPr>
          <w:rFonts w:ascii="Arial" w:hAnsi="Arial" w:cs="Arial"/>
          <w:color w:val="595959" w:themeColor="text1" w:themeTint="A6"/>
        </w:rPr>
      </w:pPr>
      <w:r w:rsidRPr="000869EC">
        <w:rPr>
          <w:rFonts w:ascii="Arial" w:hAnsi="Arial" w:cs="Arial"/>
          <w:color w:val="595959" w:themeColor="text1" w:themeTint="A6"/>
        </w:rPr>
        <w:t> </w:t>
      </w:r>
    </w:p>
    <w:p w:rsidR="000869EC" w:rsidRPr="000869EC" w:rsidRDefault="000869EC" w:rsidP="000869EC">
      <w:pPr>
        <w:pStyle w:val="Odstavecseseznamem"/>
        <w:numPr>
          <w:ilvl w:val="0"/>
          <w:numId w:val="3"/>
        </w:numPr>
        <w:spacing w:after="120"/>
        <w:rPr>
          <w:rFonts w:ascii="Arial" w:hAnsi="Arial" w:cs="Arial"/>
          <w:iCs/>
          <w:color w:val="595959" w:themeColor="text1" w:themeTint="A6"/>
        </w:rPr>
      </w:pPr>
      <w:r w:rsidRPr="000869EC">
        <w:rPr>
          <w:rFonts w:ascii="Arial" w:hAnsi="Arial" w:cs="Arial"/>
          <w:b/>
          <w:iCs/>
          <w:color w:val="595959" w:themeColor="text1" w:themeTint="A6"/>
          <w:u w:val="single"/>
        </w:rPr>
        <w:t>Bonifikační kritéria:</w:t>
      </w:r>
    </w:p>
    <w:p w:rsidR="000869EC" w:rsidRPr="000869EC" w:rsidRDefault="000869EC" w:rsidP="000869EC">
      <w:pPr>
        <w:pStyle w:val="Textodstavce"/>
        <w:numPr>
          <w:ilvl w:val="1"/>
          <w:numId w:val="5"/>
        </w:numPr>
        <w:tabs>
          <w:tab w:val="clear" w:pos="851"/>
          <w:tab w:val="clear" w:pos="1440"/>
        </w:tabs>
        <w:spacing w:before="0" w:line="252" w:lineRule="auto"/>
        <w:ind w:left="992" w:hanging="567"/>
        <w:rPr>
          <w:rFonts w:ascii="Arial" w:hAnsi="Arial" w:cs="Arial"/>
          <w:iCs/>
          <w:color w:val="595959" w:themeColor="text1" w:themeTint="A6"/>
          <w:sz w:val="22"/>
          <w:szCs w:val="22"/>
        </w:rPr>
      </w:pPr>
      <w:r w:rsidRPr="000869EC">
        <w:rPr>
          <w:rFonts w:ascii="Arial" w:hAnsi="Arial" w:cs="Arial"/>
          <w:b/>
          <w:iCs/>
          <w:color w:val="595959" w:themeColor="text1" w:themeTint="A6"/>
          <w:sz w:val="22"/>
          <w:szCs w:val="22"/>
        </w:rPr>
        <w:t>CELOŽIVOTNÍ VZDĚLÁVÁNÍ. Při splnění se HB v bodě 2 navýší o 0,04 Kč a KN o 0,04.</w:t>
      </w:r>
      <w:r w:rsidRPr="000869EC">
        <w:rPr>
          <w:rFonts w:ascii="Arial" w:hAnsi="Arial" w:cs="Arial"/>
          <w:iCs/>
          <w:color w:val="595959" w:themeColor="text1" w:themeTint="A6"/>
          <w:sz w:val="22"/>
          <w:szCs w:val="22"/>
        </w:rPr>
        <w:t xml:space="preserve"> Pokud poskytovatel zdravotní pojišťovně nejpozději do 31. ledna 2021 doloží, že nejméně 50 % lékařů nebo nelékařských pracovníků, kteří u něj působí jako nositelé výkonů a poskytují hrazené služby pojištěncům příslušné zdravotní pojišťovny, je držiteli platného dokladu celoživotního vzdělávání lékařů nebo obdobného dokladu příslušné profesní organizace, přičemž za platný doklad celoživotního vzdělávání se považuje doklad, který je platný po celé hodnocené období; tato podmínka se považuje za splněnou i v případě, že poskytovatel do jednoho měsíce po skončení platnosti dokladu celoživotního vzdělávání doručí zdravotní pojišťovně nový doklad celoživotního vzdělávání, přičemž období mezi datem ukončení platnosti původního dokladu a datem nabytí platnosti nového dokladu nečiní více než 30 kalendářních dnů.</w:t>
      </w:r>
    </w:p>
    <w:p w:rsidR="000869EC" w:rsidRPr="000869EC" w:rsidRDefault="000869EC" w:rsidP="000869EC">
      <w:pPr>
        <w:pStyle w:val="Textodstavce"/>
        <w:numPr>
          <w:ilvl w:val="1"/>
          <w:numId w:val="5"/>
        </w:numPr>
        <w:tabs>
          <w:tab w:val="clear" w:pos="851"/>
          <w:tab w:val="clear" w:pos="1440"/>
        </w:tabs>
        <w:spacing w:before="0" w:line="252" w:lineRule="auto"/>
        <w:ind w:left="992" w:hanging="567"/>
        <w:rPr>
          <w:rFonts w:ascii="Arial" w:hAnsi="Arial" w:cs="Arial"/>
          <w:iCs/>
          <w:color w:val="595959" w:themeColor="text1" w:themeTint="A6"/>
          <w:sz w:val="22"/>
          <w:szCs w:val="22"/>
        </w:rPr>
      </w:pPr>
      <w:r w:rsidRPr="000869EC">
        <w:rPr>
          <w:rFonts w:ascii="Arial" w:hAnsi="Arial" w:cs="Arial"/>
          <w:b/>
          <w:iCs/>
          <w:color w:val="595959" w:themeColor="text1" w:themeTint="A6"/>
          <w:sz w:val="22"/>
          <w:szCs w:val="22"/>
        </w:rPr>
        <w:t>ORDINAČNÍ HODINY. Při splnění se HB v bodě 2 navýší o 0,04 Kč a KN o 0,04.</w:t>
      </w:r>
      <w:r w:rsidRPr="000869EC">
        <w:rPr>
          <w:rFonts w:ascii="Arial" w:hAnsi="Arial" w:cs="Arial"/>
          <w:iCs/>
          <w:color w:val="595959" w:themeColor="text1" w:themeTint="A6"/>
          <w:sz w:val="22"/>
          <w:szCs w:val="22"/>
        </w:rPr>
        <w:t xml:space="preserve">  V případě, že poskytovatel alespoň u 50 % pracovišť poskytovatele (IČP) v dané odbornosti poskytuje hrazené služby v rozsahu alespoň 30 ordinačních hodin rozložených do 5 pracovních dnů týdně</w:t>
      </w:r>
      <w:r w:rsidR="004B1650">
        <w:rPr>
          <w:rFonts w:ascii="Arial" w:hAnsi="Arial" w:cs="Arial"/>
          <w:iCs/>
          <w:color w:val="595959" w:themeColor="text1" w:themeTint="A6"/>
          <w:sz w:val="22"/>
          <w:szCs w:val="22"/>
        </w:rPr>
        <w:t>, resp. 24 ordinačních hodin rozložených  do 4 pracovních dnů u chirurgických oborů</w:t>
      </w:r>
      <w:r w:rsidRPr="000869EC">
        <w:rPr>
          <w:rFonts w:ascii="Arial" w:hAnsi="Arial" w:cs="Arial"/>
          <w:iCs/>
          <w:color w:val="595959" w:themeColor="text1" w:themeTint="A6"/>
          <w:sz w:val="22"/>
          <w:szCs w:val="22"/>
        </w:rPr>
        <w:t>; tato podmínka se považuje za splněnou i v případě poskytovatele, u něhož působí jediný nositel výkonů, který plní podmínku rozsahu a rozložení ordinačních hodin na více pracovištích (IČP), přičemž ordinační doba se v tomto případě za jednotlivá pracoviště hodnotí jako celek.</w:t>
      </w:r>
    </w:p>
    <w:p w:rsidR="000869EC" w:rsidRDefault="000869EC" w:rsidP="000869EC">
      <w:pPr>
        <w:pStyle w:val="Textodstavce"/>
        <w:numPr>
          <w:ilvl w:val="1"/>
          <w:numId w:val="5"/>
        </w:numPr>
        <w:tabs>
          <w:tab w:val="clear" w:pos="851"/>
          <w:tab w:val="clear" w:pos="1440"/>
        </w:tabs>
        <w:spacing w:before="0" w:line="252" w:lineRule="auto"/>
        <w:ind w:left="992" w:hanging="567"/>
        <w:rPr>
          <w:rFonts w:ascii="Arial" w:hAnsi="Arial" w:cs="Arial"/>
          <w:iCs/>
          <w:color w:val="595959" w:themeColor="text1" w:themeTint="A6"/>
          <w:sz w:val="22"/>
          <w:szCs w:val="22"/>
        </w:rPr>
      </w:pPr>
      <w:r w:rsidRPr="000869EC">
        <w:rPr>
          <w:rFonts w:ascii="Arial" w:hAnsi="Arial" w:cs="Arial"/>
          <w:b/>
          <w:iCs/>
          <w:color w:val="595959" w:themeColor="text1" w:themeTint="A6"/>
          <w:sz w:val="22"/>
          <w:szCs w:val="22"/>
        </w:rPr>
        <w:t>NOVÍ PACIENTI a OBJEDNÁVKOVÝ SYSTÉM. Při splnění se HB v bodě 2 navýší o 0,04 Kč a KN o 0,04.</w:t>
      </w:r>
      <w:r w:rsidRPr="000869EC">
        <w:rPr>
          <w:rFonts w:ascii="Arial" w:hAnsi="Arial" w:cs="Arial"/>
          <w:iCs/>
          <w:color w:val="595959" w:themeColor="text1" w:themeTint="A6"/>
          <w:sz w:val="22"/>
          <w:szCs w:val="22"/>
        </w:rPr>
        <w:t xml:space="preserve"> V případě, že poskytovatel v hodnoceném období v dané odbornosti ošetří alespoň 5 % </w:t>
      </w:r>
      <w:proofErr w:type="gramStart"/>
      <w:r w:rsidRPr="000869EC">
        <w:rPr>
          <w:rFonts w:ascii="Arial" w:hAnsi="Arial" w:cs="Arial"/>
          <w:iCs/>
          <w:color w:val="595959" w:themeColor="text1" w:themeTint="A6"/>
          <w:sz w:val="22"/>
          <w:szCs w:val="22"/>
        </w:rPr>
        <w:t>pojištěnců,  u nichž</w:t>
      </w:r>
      <w:proofErr w:type="gramEnd"/>
      <w:r w:rsidRPr="000869EC">
        <w:rPr>
          <w:rFonts w:ascii="Arial" w:hAnsi="Arial" w:cs="Arial"/>
          <w:iCs/>
          <w:color w:val="595959" w:themeColor="text1" w:themeTint="A6"/>
          <w:sz w:val="22"/>
          <w:szCs w:val="22"/>
        </w:rPr>
        <w:t xml:space="preserve"> v období od 1. ledna 20</w:t>
      </w:r>
      <w:r w:rsidR="004B1650">
        <w:rPr>
          <w:rFonts w:ascii="Arial" w:hAnsi="Arial" w:cs="Arial"/>
          <w:iCs/>
          <w:color w:val="595959" w:themeColor="text1" w:themeTint="A6"/>
          <w:sz w:val="22"/>
          <w:szCs w:val="22"/>
        </w:rPr>
        <w:t>20</w:t>
      </w:r>
      <w:r w:rsidRPr="000869EC">
        <w:rPr>
          <w:rFonts w:ascii="Arial" w:hAnsi="Arial" w:cs="Arial"/>
          <w:iCs/>
          <w:color w:val="595959" w:themeColor="text1" w:themeTint="A6"/>
          <w:sz w:val="22"/>
          <w:szCs w:val="22"/>
        </w:rPr>
        <w:t xml:space="preserve"> do 31. prosince 202</w:t>
      </w:r>
      <w:r w:rsidR="004B1650">
        <w:rPr>
          <w:rFonts w:ascii="Arial" w:hAnsi="Arial" w:cs="Arial"/>
          <w:iCs/>
          <w:color w:val="595959" w:themeColor="text1" w:themeTint="A6"/>
          <w:sz w:val="22"/>
          <w:szCs w:val="22"/>
        </w:rPr>
        <w:t>1</w:t>
      </w:r>
      <w:r w:rsidRPr="000869EC">
        <w:rPr>
          <w:rFonts w:ascii="Arial" w:hAnsi="Arial" w:cs="Arial"/>
          <w:iCs/>
          <w:color w:val="595959" w:themeColor="text1" w:themeTint="A6"/>
          <w:sz w:val="22"/>
          <w:szCs w:val="22"/>
        </w:rPr>
        <w:t xml:space="preserve"> nevykázal zdravotní pojišťovně žádný výkon, a pro návštěvy pojištěnců využívá objednávkový systém, který umožňuje přednostní vyšetření či ošetření těch pojištěnců, u nichž to vyžaduje jejich zdravotní stav.</w:t>
      </w:r>
    </w:p>
    <w:p w:rsidR="00BF4D09" w:rsidRPr="002B48C2" w:rsidRDefault="00BF4D09" w:rsidP="000869EC">
      <w:pPr>
        <w:pStyle w:val="Textodstavce"/>
        <w:numPr>
          <w:ilvl w:val="1"/>
          <w:numId w:val="5"/>
        </w:numPr>
        <w:tabs>
          <w:tab w:val="clear" w:pos="851"/>
          <w:tab w:val="clear" w:pos="1440"/>
        </w:tabs>
        <w:spacing w:before="0" w:line="252" w:lineRule="auto"/>
        <w:ind w:left="992" w:hanging="567"/>
        <w:rPr>
          <w:rFonts w:ascii="Arial" w:hAnsi="Arial" w:cs="Arial"/>
          <w:iCs/>
          <w:color w:val="FF0000"/>
          <w:sz w:val="22"/>
          <w:szCs w:val="22"/>
        </w:rPr>
      </w:pPr>
      <w:r w:rsidRPr="002B48C2">
        <w:rPr>
          <w:rFonts w:ascii="Arial" w:hAnsi="Arial" w:cs="Arial"/>
          <w:b/>
          <w:iCs/>
          <w:color w:val="FF0000"/>
          <w:sz w:val="22"/>
          <w:szCs w:val="22"/>
        </w:rPr>
        <w:lastRenderedPageBreak/>
        <w:t>Zachování kritéria pro koeficient u logopedie:</w:t>
      </w:r>
      <w:r w:rsidR="002B48C2" w:rsidRPr="002B48C2">
        <w:rPr>
          <w:rFonts w:ascii="Arial" w:hAnsi="Arial" w:cs="Arial"/>
          <w:b/>
          <w:iCs/>
          <w:color w:val="FF0000"/>
          <w:sz w:val="22"/>
          <w:szCs w:val="22"/>
        </w:rPr>
        <w:t xml:space="preserve"> </w:t>
      </w:r>
      <w:r w:rsidRPr="002B48C2">
        <w:rPr>
          <w:rFonts w:ascii="Arial" w:hAnsi="Arial" w:cs="Arial"/>
          <w:b/>
          <w:color w:val="FF0000"/>
          <w:sz w:val="22"/>
          <w:szCs w:val="22"/>
          <w:shd w:val="clear" w:color="auto" w:fill="FFFFFF"/>
        </w:rPr>
        <w:t>0,12</w:t>
      </w:r>
      <w:r w:rsidRPr="002B48C2">
        <w:rPr>
          <w:rFonts w:ascii="Arial" w:hAnsi="Arial" w:cs="Arial"/>
          <w:color w:val="FF0000"/>
          <w:sz w:val="22"/>
          <w:szCs w:val="22"/>
          <w:shd w:val="clear" w:color="auto" w:fill="FFFFFF"/>
        </w:rPr>
        <w:t xml:space="preserve"> pro odbornost klinická logopedie v případě, že v roce 2022 podíl počtu pojištěnců u dané ZP s hlavní dg. F84.0 až F84.3, F84,5, F 84,8, F 98.5, F 98.6. R 47.0 až R 47.9, R 13, Q 35 ažQ37 nebo Q 90 až Q 99 překročí 10% celkového počtu ošetřených pacientů</w:t>
      </w:r>
    </w:p>
    <w:p w:rsidR="000869EC" w:rsidRPr="000869EC" w:rsidRDefault="000869EC" w:rsidP="000869EC">
      <w:pPr>
        <w:spacing w:after="0"/>
        <w:rPr>
          <w:rFonts w:ascii="Arial" w:hAnsi="Arial" w:cs="Arial"/>
        </w:rPr>
      </w:pPr>
    </w:p>
    <w:p w:rsidR="004B1650" w:rsidRDefault="004B1650" w:rsidP="004B1650">
      <w:pPr>
        <w:pStyle w:val="Odstavecseseznamem"/>
        <w:numPr>
          <w:ilvl w:val="0"/>
          <w:numId w:val="3"/>
        </w:numPr>
        <w:suppressAutoHyphens/>
        <w:spacing w:after="0" w:line="240" w:lineRule="auto"/>
        <w:contextualSpacing w:val="0"/>
        <w:jc w:val="both"/>
        <w:rPr>
          <w:rFonts w:ascii="Arial" w:hAnsi="Arial" w:cs="Arial"/>
        </w:rPr>
      </w:pPr>
      <w:r w:rsidRPr="000869EC">
        <w:rPr>
          <w:rFonts w:ascii="Arial" w:hAnsi="Arial" w:cs="Arial"/>
        </w:rPr>
        <w:t xml:space="preserve">Zachovat možnost vyjednání vyšší úhrady u nákladnějších pacientů, než odpovídá </w:t>
      </w:r>
      <w:proofErr w:type="spellStart"/>
      <w:r>
        <w:rPr>
          <w:rFonts w:ascii="Arial" w:hAnsi="Arial" w:cs="Arial"/>
        </w:rPr>
        <w:t>PUROo</w:t>
      </w:r>
      <w:proofErr w:type="spellEnd"/>
    </w:p>
    <w:p w:rsidR="004B1650" w:rsidRPr="000869EC" w:rsidRDefault="004B1650" w:rsidP="004B1650">
      <w:pPr>
        <w:pStyle w:val="Odstavecseseznamem"/>
        <w:suppressAutoHyphens/>
        <w:spacing w:after="0" w:line="240" w:lineRule="auto"/>
        <w:contextualSpacing w:val="0"/>
        <w:jc w:val="both"/>
        <w:rPr>
          <w:rFonts w:ascii="Arial" w:hAnsi="Arial" w:cs="Arial"/>
        </w:rPr>
      </w:pPr>
    </w:p>
    <w:p w:rsidR="004B1650" w:rsidRDefault="004B1650" w:rsidP="000869EC">
      <w:pPr>
        <w:pStyle w:val="Odstavecseseznamem"/>
        <w:numPr>
          <w:ilvl w:val="0"/>
          <w:numId w:val="3"/>
        </w:numPr>
        <w:spacing w:after="120" w:line="252" w:lineRule="auto"/>
        <w:contextualSpacing w:val="0"/>
        <w:rPr>
          <w:rFonts w:ascii="Arial" w:hAnsi="Arial" w:cs="Arial"/>
          <w:color w:val="595959" w:themeColor="text1" w:themeTint="A6"/>
        </w:rPr>
      </w:pPr>
      <w:r>
        <w:rPr>
          <w:rFonts w:ascii="Arial" w:hAnsi="Arial" w:cs="Arial"/>
          <w:color w:val="595959" w:themeColor="text1" w:themeTint="A6"/>
        </w:rPr>
        <w:t>Malý počet pojištěnců 100</w:t>
      </w:r>
    </w:p>
    <w:p w:rsidR="004B1650" w:rsidRPr="004B1650" w:rsidRDefault="004B1650" w:rsidP="004B1650">
      <w:pPr>
        <w:pStyle w:val="Odstavecseseznamem"/>
        <w:rPr>
          <w:rFonts w:ascii="Arial" w:hAnsi="Arial" w:cs="Arial"/>
          <w:color w:val="595959" w:themeColor="text1" w:themeTint="A6"/>
        </w:rPr>
      </w:pPr>
    </w:p>
    <w:p w:rsidR="004B1650" w:rsidRDefault="004B1650" w:rsidP="000869EC">
      <w:pPr>
        <w:pStyle w:val="Odstavecseseznamem"/>
        <w:numPr>
          <w:ilvl w:val="0"/>
          <w:numId w:val="3"/>
        </w:numPr>
        <w:spacing w:after="120" w:line="252" w:lineRule="auto"/>
        <w:contextualSpacing w:val="0"/>
        <w:rPr>
          <w:rFonts w:ascii="Arial" w:hAnsi="Arial" w:cs="Arial"/>
          <w:color w:val="595959" w:themeColor="text1" w:themeTint="A6"/>
        </w:rPr>
      </w:pPr>
      <w:r>
        <w:rPr>
          <w:rFonts w:ascii="Arial" w:hAnsi="Arial" w:cs="Arial"/>
          <w:color w:val="595959" w:themeColor="text1" w:themeTint="A6"/>
        </w:rPr>
        <w:t>Výše uvedeným změnám hodnot bodů přiměřené navýšení hodnoty bodu při péči o zahraniční pojištěnce.</w:t>
      </w:r>
    </w:p>
    <w:p w:rsidR="004B1650" w:rsidRPr="004B1650" w:rsidRDefault="004B1650" w:rsidP="004B1650">
      <w:pPr>
        <w:pStyle w:val="Odstavecseseznamem"/>
        <w:rPr>
          <w:rFonts w:ascii="Arial" w:hAnsi="Arial" w:cs="Arial"/>
          <w:color w:val="595959" w:themeColor="text1" w:themeTint="A6"/>
        </w:rPr>
      </w:pPr>
    </w:p>
    <w:p w:rsidR="004B1650" w:rsidRPr="002B48C2" w:rsidRDefault="004B1650" w:rsidP="004B1650">
      <w:pPr>
        <w:pStyle w:val="Odstavecseseznamem"/>
        <w:numPr>
          <w:ilvl w:val="0"/>
          <w:numId w:val="3"/>
        </w:numPr>
        <w:suppressAutoHyphens/>
        <w:spacing w:after="0" w:line="240" w:lineRule="auto"/>
        <w:contextualSpacing w:val="0"/>
        <w:jc w:val="both"/>
        <w:rPr>
          <w:rFonts w:ascii="Arial" w:hAnsi="Arial" w:cs="Arial"/>
          <w:color w:val="FF0000"/>
        </w:rPr>
      </w:pPr>
      <w:r w:rsidRPr="002B48C2">
        <w:rPr>
          <w:rFonts w:ascii="Arial" w:hAnsi="Arial" w:cs="Arial"/>
          <w:color w:val="FF0000"/>
        </w:rPr>
        <w:t>Hodnota výkonů 09543 a 09615 minimálně 42,- Kč.</w:t>
      </w:r>
    </w:p>
    <w:p w:rsidR="004B1650" w:rsidRPr="004B1650" w:rsidRDefault="004B1650" w:rsidP="004B1650">
      <w:pPr>
        <w:pStyle w:val="Odstavecseseznamem"/>
        <w:rPr>
          <w:rFonts w:ascii="Arial" w:hAnsi="Arial" w:cs="Arial"/>
        </w:rPr>
      </w:pPr>
    </w:p>
    <w:p w:rsidR="004B1650" w:rsidRPr="000869EC" w:rsidRDefault="004B1650" w:rsidP="004B1650">
      <w:pPr>
        <w:pStyle w:val="Odstavecseseznamem"/>
        <w:numPr>
          <w:ilvl w:val="0"/>
          <w:numId w:val="3"/>
        </w:numPr>
        <w:suppressAutoHyphens/>
        <w:spacing w:after="0" w:line="240" w:lineRule="auto"/>
        <w:contextualSpacing w:val="0"/>
        <w:jc w:val="both"/>
        <w:rPr>
          <w:rFonts w:ascii="Arial" w:hAnsi="Arial" w:cs="Arial"/>
        </w:rPr>
      </w:pPr>
      <w:r w:rsidRPr="000869EC">
        <w:rPr>
          <w:rFonts w:ascii="Arial" w:hAnsi="Arial" w:cs="Arial"/>
        </w:rPr>
        <w:t xml:space="preserve">Bonifikace </w:t>
      </w:r>
      <w:proofErr w:type="gramStart"/>
      <w:r w:rsidRPr="000869EC">
        <w:rPr>
          <w:rFonts w:ascii="Arial" w:hAnsi="Arial" w:cs="Arial"/>
        </w:rPr>
        <w:t xml:space="preserve">za </w:t>
      </w:r>
      <w:proofErr w:type="spellStart"/>
      <w:r w:rsidRPr="000869EC">
        <w:rPr>
          <w:rFonts w:ascii="Arial" w:hAnsi="Arial" w:cs="Arial"/>
        </w:rPr>
        <w:t>e.recept</w:t>
      </w:r>
      <w:proofErr w:type="spellEnd"/>
      <w:proofErr w:type="gramEnd"/>
      <w:r w:rsidRPr="000869EC">
        <w:rPr>
          <w:rFonts w:ascii="Arial" w:hAnsi="Arial" w:cs="Arial"/>
        </w:rPr>
        <w:t xml:space="preserve"> minimálně 2,- Kč za jeden.</w:t>
      </w:r>
    </w:p>
    <w:p w:rsidR="004B1650" w:rsidRPr="004B1650" w:rsidRDefault="004B1650" w:rsidP="004B1650">
      <w:pPr>
        <w:spacing w:after="120" w:line="252" w:lineRule="auto"/>
        <w:rPr>
          <w:rFonts w:ascii="Arial" w:hAnsi="Arial" w:cs="Arial"/>
          <w:color w:val="595959" w:themeColor="text1" w:themeTint="A6"/>
        </w:rPr>
      </w:pPr>
    </w:p>
    <w:p w:rsidR="000869EC" w:rsidRDefault="000869EC" w:rsidP="000869EC">
      <w:pPr>
        <w:pStyle w:val="Odstavecseseznamem"/>
        <w:numPr>
          <w:ilvl w:val="0"/>
          <w:numId w:val="3"/>
        </w:numPr>
        <w:spacing w:after="120" w:line="252" w:lineRule="auto"/>
        <w:contextualSpacing w:val="0"/>
        <w:rPr>
          <w:rFonts w:ascii="Arial" w:hAnsi="Arial" w:cs="Arial"/>
          <w:color w:val="595959" w:themeColor="text1" w:themeTint="A6"/>
        </w:rPr>
      </w:pPr>
      <w:r w:rsidRPr="000869EC">
        <w:rPr>
          <w:rFonts w:ascii="Arial" w:hAnsi="Arial" w:cs="Arial"/>
          <w:b/>
          <w:color w:val="595959" w:themeColor="text1" w:themeTint="A6"/>
          <w:u w:val="single"/>
        </w:rPr>
        <w:t>Zrušení regulací</w:t>
      </w:r>
      <w:r w:rsidRPr="000869EC">
        <w:rPr>
          <w:rFonts w:ascii="Arial" w:hAnsi="Arial" w:cs="Arial"/>
          <w:color w:val="595959" w:themeColor="text1" w:themeTint="A6"/>
        </w:rPr>
        <w:t xml:space="preserve"> za preskripci a vyžádanou péči</w:t>
      </w:r>
    </w:p>
    <w:p w:rsidR="000869EC" w:rsidRPr="000869EC" w:rsidRDefault="000869EC" w:rsidP="000869EC">
      <w:pPr>
        <w:pStyle w:val="Odstavecseseznamem"/>
        <w:spacing w:after="120" w:line="252" w:lineRule="auto"/>
        <w:contextualSpacing w:val="0"/>
        <w:rPr>
          <w:rFonts w:ascii="Arial" w:hAnsi="Arial" w:cs="Arial"/>
          <w:color w:val="595959" w:themeColor="text1" w:themeTint="A6"/>
        </w:rPr>
      </w:pPr>
    </w:p>
    <w:p w:rsidR="004B1650" w:rsidRDefault="000869EC" w:rsidP="004B1650">
      <w:pPr>
        <w:pStyle w:val="Odstavecseseznamem"/>
        <w:numPr>
          <w:ilvl w:val="0"/>
          <w:numId w:val="3"/>
        </w:numPr>
        <w:spacing w:after="120" w:line="252" w:lineRule="auto"/>
        <w:contextualSpacing w:val="0"/>
        <w:rPr>
          <w:rFonts w:ascii="Arial" w:hAnsi="Arial" w:cs="Arial"/>
          <w:color w:val="595959" w:themeColor="text1" w:themeTint="A6"/>
        </w:rPr>
      </w:pPr>
      <w:r w:rsidRPr="000869EC">
        <w:rPr>
          <w:rFonts w:ascii="Arial" w:hAnsi="Arial" w:cs="Arial"/>
          <w:b/>
          <w:color w:val="595959" w:themeColor="text1" w:themeTint="A6"/>
          <w:u w:val="single"/>
        </w:rPr>
        <w:t xml:space="preserve">Zachování ustanovení odstavce č. 7 §3 </w:t>
      </w:r>
      <w:r w:rsidRPr="000869EC">
        <w:rPr>
          <w:rFonts w:ascii="Arial" w:hAnsi="Arial" w:cs="Arial"/>
          <w:color w:val="595959" w:themeColor="text1" w:themeTint="A6"/>
        </w:rPr>
        <w:t xml:space="preserve">vyhlášky č. 428/2020 </w:t>
      </w:r>
      <w:proofErr w:type="gramStart"/>
      <w:r w:rsidRPr="000869EC">
        <w:rPr>
          <w:rFonts w:ascii="Arial" w:hAnsi="Arial" w:cs="Arial"/>
          <w:color w:val="595959" w:themeColor="text1" w:themeTint="A6"/>
        </w:rPr>
        <w:t>Sb.</w:t>
      </w:r>
      <w:r w:rsidR="004B1650">
        <w:rPr>
          <w:rFonts w:ascii="Arial" w:hAnsi="Arial" w:cs="Arial"/>
          <w:color w:val="595959" w:themeColor="text1" w:themeTint="A6"/>
        </w:rPr>
        <w:t>,m tj.</w:t>
      </w:r>
      <w:proofErr w:type="gramEnd"/>
      <w:r w:rsidR="004B1650">
        <w:rPr>
          <w:rFonts w:ascii="Arial" w:hAnsi="Arial" w:cs="Arial"/>
          <w:color w:val="595959" w:themeColor="text1" w:themeTint="A6"/>
        </w:rPr>
        <w:t>:</w:t>
      </w:r>
    </w:p>
    <w:p w:rsidR="004B1650" w:rsidRDefault="004B1650" w:rsidP="005A0715">
      <w:pPr>
        <w:pStyle w:val="Odstavecseseznamem"/>
        <w:spacing w:after="120" w:line="252" w:lineRule="auto"/>
        <w:contextualSpacing w:val="0"/>
        <w:jc w:val="both"/>
        <w:rPr>
          <w:rFonts w:ascii="Arial" w:hAnsi="Arial" w:cs="Arial"/>
        </w:rPr>
      </w:pPr>
      <w:r w:rsidRPr="004B1650">
        <w:rPr>
          <w:rFonts w:ascii="Arial" w:hAnsi="Arial" w:cs="Arial"/>
        </w:rPr>
        <w:t>Má-li zdravotní pojišťovna při stanovení výše úhrad nebo regulačních omezení použít hodnoty úhradových ukazatelů srovnatelných poskytovatelů, použije k určení těchto hodnot příslušné hodnoty všech smluvních poskytovatelů, kteří v hodnoceném období poskytují zdravotní služby ve srovnatelném celkovém rozsahu a struktuře jako poskytovatel, pro kterého se ustanovení o srovnatelném poskytovateli použív</w:t>
      </w:r>
      <w:r>
        <w:rPr>
          <w:rFonts w:ascii="Arial" w:hAnsi="Arial" w:cs="Arial"/>
        </w:rPr>
        <w:t>á.</w:t>
      </w:r>
    </w:p>
    <w:p w:rsidR="009C5D96" w:rsidRDefault="009C5D96" w:rsidP="004B1650">
      <w:pPr>
        <w:pStyle w:val="Odstavecseseznamem"/>
        <w:spacing w:after="120" w:line="252" w:lineRule="auto"/>
        <w:contextualSpacing w:val="0"/>
        <w:rPr>
          <w:rFonts w:ascii="Arial" w:hAnsi="Arial" w:cs="Arial"/>
        </w:rPr>
      </w:pPr>
    </w:p>
    <w:sectPr w:rsidR="009C5D96" w:rsidSect="00C52D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B0E3F"/>
    <w:multiLevelType w:val="hybridMultilevel"/>
    <w:tmpl w:val="9EACC0AA"/>
    <w:lvl w:ilvl="0" w:tplc="04050017">
      <w:start w:val="1"/>
      <w:numFmt w:val="lowerLetter"/>
      <w:lvlText w:val="%1)"/>
      <w:lvlJc w:val="left"/>
      <w:pPr>
        <w:tabs>
          <w:tab w:val="num" w:pos="3060"/>
        </w:tabs>
        <w:ind w:left="306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rPr>
        <w:rFonts w:cs="Times New Roman"/>
      </w:rPr>
    </w:lvl>
    <w:lvl w:ilvl="3" w:tplc="553C789E">
      <w:start w:val="1"/>
      <w:numFmt w:val="decimal"/>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21D10D04"/>
    <w:multiLevelType w:val="hybridMultilevel"/>
    <w:tmpl w:val="814265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F080989"/>
    <w:multiLevelType w:val="hybridMultilevel"/>
    <w:tmpl w:val="44BAEE2C"/>
    <w:lvl w:ilvl="0" w:tplc="D2CA0CA4">
      <w:start w:val="1"/>
      <w:numFmt w:val="decimal"/>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AA73A48"/>
    <w:multiLevelType w:val="hybridMultilevel"/>
    <w:tmpl w:val="84C4BF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68A24DFA"/>
    <w:multiLevelType w:val="hybridMultilevel"/>
    <w:tmpl w:val="64D0E2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AAF1A1F"/>
    <w:multiLevelType w:val="hybridMultilevel"/>
    <w:tmpl w:val="E3142116"/>
    <w:lvl w:ilvl="0" w:tplc="ACC80892">
      <w:start w:val="1"/>
      <w:numFmt w:val="decimal"/>
      <w:pStyle w:val="Textodstavce"/>
      <w:lvlText w:val="(%1)"/>
      <w:lvlJc w:val="left"/>
      <w:pPr>
        <w:tabs>
          <w:tab w:val="num" w:pos="785"/>
        </w:tabs>
        <w:ind w:left="0" w:firstLine="425"/>
      </w:pPr>
    </w:lvl>
    <w:lvl w:ilvl="1" w:tplc="4A44A6F4">
      <w:start w:val="1"/>
      <w:numFmt w:val="lowerLetter"/>
      <w:pStyle w:val="Textpsmene"/>
      <w:lvlText w:val="%2)"/>
      <w:lvlJc w:val="left"/>
      <w:pPr>
        <w:tabs>
          <w:tab w:val="num" w:pos="425"/>
        </w:tabs>
        <w:ind w:left="425" w:hanging="425"/>
      </w:pPr>
      <w:rPr>
        <w:rFonts w:cs="Times New Roman" w:hint="default"/>
      </w:rPr>
    </w:lvl>
    <w:lvl w:ilvl="2" w:tplc="5D8AE732">
      <w:numFmt w:val="bullet"/>
      <w:pStyle w:val="Textbodu"/>
      <w:lvlText w:val="-"/>
      <w:lvlJc w:val="left"/>
      <w:pPr>
        <w:tabs>
          <w:tab w:val="num" w:pos="851"/>
        </w:tabs>
        <w:ind w:left="851" w:hanging="426"/>
      </w:pPr>
      <w:rPr>
        <w:rFonts w:ascii="Calibri" w:eastAsiaTheme="minorHAnsi" w:hAnsi="Calibri" w:cstheme="minorBidi" w:hint="default"/>
      </w:rPr>
    </w:lvl>
    <w:lvl w:ilvl="3" w:tplc="2DEC25F2">
      <w:start w:val="1"/>
      <w:numFmt w:val="decimal"/>
      <w:lvlText w:val="(%4)"/>
      <w:lvlJc w:val="left"/>
      <w:pPr>
        <w:tabs>
          <w:tab w:val="num" w:pos="1440"/>
        </w:tabs>
        <w:ind w:left="1440" w:hanging="360"/>
      </w:pPr>
      <w:rPr>
        <w:rFonts w:cs="Times New Roman" w:hint="default"/>
      </w:rPr>
    </w:lvl>
    <w:lvl w:ilvl="4" w:tplc="26CCA8CA">
      <w:start w:val="1"/>
      <w:numFmt w:val="lowerLetter"/>
      <w:lvlText w:val="(%5)"/>
      <w:lvlJc w:val="left"/>
      <w:pPr>
        <w:tabs>
          <w:tab w:val="num" w:pos="1800"/>
        </w:tabs>
        <w:ind w:left="1800" w:hanging="360"/>
      </w:pPr>
      <w:rPr>
        <w:rFonts w:cs="Times New Roman" w:hint="default"/>
      </w:rPr>
    </w:lvl>
    <w:lvl w:ilvl="5" w:tplc="F6D60D7E">
      <w:start w:val="1"/>
      <w:numFmt w:val="lowerRoman"/>
      <w:lvlText w:val="(%6)"/>
      <w:lvlJc w:val="left"/>
      <w:pPr>
        <w:tabs>
          <w:tab w:val="num" w:pos="2520"/>
        </w:tabs>
        <w:ind w:left="2160" w:hanging="360"/>
      </w:pPr>
      <w:rPr>
        <w:rFonts w:cs="Times New Roman" w:hint="default"/>
      </w:rPr>
    </w:lvl>
    <w:lvl w:ilvl="6" w:tplc="EA9885EE">
      <w:start w:val="1"/>
      <w:numFmt w:val="decimal"/>
      <w:lvlText w:val="%7."/>
      <w:lvlJc w:val="left"/>
      <w:pPr>
        <w:tabs>
          <w:tab w:val="num" w:pos="2520"/>
        </w:tabs>
        <w:ind w:left="2520" w:hanging="360"/>
      </w:pPr>
      <w:rPr>
        <w:rFonts w:cs="Times New Roman" w:hint="default"/>
      </w:rPr>
    </w:lvl>
    <w:lvl w:ilvl="7" w:tplc="603690A8">
      <w:start w:val="1"/>
      <w:numFmt w:val="lowerLetter"/>
      <w:lvlText w:val="%8."/>
      <w:lvlJc w:val="left"/>
      <w:pPr>
        <w:tabs>
          <w:tab w:val="num" w:pos="2880"/>
        </w:tabs>
        <w:ind w:left="2880" w:hanging="360"/>
      </w:pPr>
      <w:rPr>
        <w:rFonts w:cs="Times New Roman" w:hint="default"/>
      </w:rPr>
    </w:lvl>
    <w:lvl w:ilvl="8" w:tplc="FD7AB8CA">
      <w:start w:val="1"/>
      <w:numFmt w:val="lowerRoman"/>
      <w:lvlText w:val="%9."/>
      <w:lvlJc w:val="left"/>
      <w:pPr>
        <w:tabs>
          <w:tab w:val="num" w:pos="3600"/>
        </w:tabs>
        <w:ind w:left="3240" w:hanging="360"/>
      </w:pPr>
      <w:rPr>
        <w:rFonts w:cs="Times New Roman" w:hint="default"/>
      </w:rPr>
    </w:lvl>
  </w:abstractNum>
  <w:abstractNum w:abstractNumId="6">
    <w:nsid w:val="6B4B76B6"/>
    <w:multiLevelType w:val="hybridMultilevel"/>
    <w:tmpl w:val="53FC7FD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191212"/>
    <w:rsid w:val="000869EC"/>
    <w:rsid w:val="000D23E9"/>
    <w:rsid w:val="00191212"/>
    <w:rsid w:val="00197FF3"/>
    <w:rsid w:val="002B48C2"/>
    <w:rsid w:val="002E6931"/>
    <w:rsid w:val="004B1650"/>
    <w:rsid w:val="005A0715"/>
    <w:rsid w:val="005F7823"/>
    <w:rsid w:val="009C5D96"/>
    <w:rsid w:val="00BF4D09"/>
    <w:rsid w:val="00C1030A"/>
    <w:rsid w:val="00C52DC8"/>
    <w:rsid w:val="00CA5F7C"/>
    <w:rsid w:val="00E26E8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2DC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91212"/>
    <w:pPr>
      <w:ind w:left="720"/>
      <w:contextualSpacing/>
    </w:pPr>
  </w:style>
  <w:style w:type="character" w:customStyle="1" w:styleId="OdstavecseseznamemChar">
    <w:name w:val="Odstavec se seznamem Char"/>
    <w:link w:val="Odstavecseseznamem"/>
    <w:uiPriority w:val="34"/>
    <w:qFormat/>
    <w:locked/>
    <w:rsid w:val="000869EC"/>
  </w:style>
  <w:style w:type="paragraph" w:customStyle="1" w:styleId="Textodstavce">
    <w:name w:val="Text odstavce"/>
    <w:basedOn w:val="Normln"/>
    <w:uiPriority w:val="99"/>
    <w:rsid w:val="000869EC"/>
    <w:pPr>
      <w:numPr>
        <w:numId w:val="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uiPriority w:val="99"/>
    <w:rsid w:val="000869EC"/>
    <w:pPr>
      <w:numPr>
        <w:ilvl w:val="2"/>
        <w:numId w:val="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uiPriority w:val="99"/>
    <w:rsid w:val="000869EC"/>
    <w:pPr>
      <w:numPr>
        <w:ilvl w:val="1"/>
        <w:numId w:val="4"/>
      </w:numPr>
      <w:spacing w:after="0" w:line="240" w:lineRule="auto"/>
      <w:jc w:val="both"/>
      <w:outlineLvl w:val="7"/>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B48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48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881</Words>
  <Characters>5204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Zorjan Jojko</dc:creator>
  <cp:keywords/>
  <dc:description/>
  <cp:lastModifiedBy>Irena</cp:lastModifiedBy>
  <cp:revision>13</cp:revision>
  <dcterms:created xsi:type="dcterms:W3CDTF">2021-03-24T06:19:00Z</dcterms:created>
  <dcterms:modified xsi:type="dcterms:W3CDTF">2021-03-31T10:52:00Z</dcterms:modified>
</cp:coreProperties>
</file>