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Ind w:w="0" w:type="dxa"/>
        <w:tblLook w:val="04A0"/>
      </w:tblPr>
      <w:tblGrid>
        <w:gridCol w:w="9212"/>
      </w:tblGrid>
      <w:tr w:rsidR="00D221DE" w:rsidTr="00D221D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DE" w:rsidRDefault="00D221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Měsíční souhrn závěrů aktuálních studií z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Informed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SLP srpen 2023  </w:t>
            </w:r>
          </w:p>
          <w:p w:rsidR="00D221DE" w:rsidRDefault="00D221DE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Zpracovala PhDr. Šárka Bílá, sarka.bila@fnkv.cz</w:t>
            </w:r>
          </w:p>
        </w:tc>
      </w:tr>
    </w:tbl>
    <w:p w:rsidR="00D221DE" w:rsidRDefault="00D221DE" w:rsidP="00D221DE"/>
    <w:tbl>
      <w:tblPr>
        <w:tblStyle w:val="Mkatabulky"/>
        <w:tblW w:w="0" w:type="auto"/>
        <w:tblInd w:w="0" w:type="dxa"/>
        <w:tblLook w:val="04A0"/>
      </w:tblPr>
      <w:tblGrid>
        <w:gridCol w:w="9062"/>
      </w:tblGrid>
      <w:tr w:rsidR="00D221DE" w:rsidTr="00D221D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DE" w:rsidRDefault="00D221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Hlasová terapie</w:t>
            </w:r>
          </w:p>
        </w:tc>
      </w:tr>
    </w:tbl>
    <w:p w:rsidR="00813882" w:rsidRDefault="00813882" w:rsidP="008138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2E1" w:rsidRPr="00813882" w:rsidRDefault="00D221DE" w:rsidP="008138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3882">
        <w:rPr>
          <w:rFonts w:ascii="Times New Roman" w:hAnsi="Times New Roman" w:cs="Times New Roman"/>
          <w:sz w:val="24"/>
          <w:szCs w:val="24"/>
        </w:rPr>
        <w:t>Maryam</w:t>
      </w:r>
      <w:proofErr w:type="spellEnd"/>
      <w:r w:rsidRPr="008138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882">
        <w:rPr>
          <w:rFonts w:ascii="Times New Roman" w:hAnsi="Times New Roman" w:cs="Times New Roman"/>
          <w:sz w:val="24"/>
          <w:szCs w:val="24"/>
        </w:rPr>
        <w:t>Khoddami</w:t>
      </w:r>
      <w:proofErr w:type="spellEnd"/>
      <w:r w:rsidRPr="00813882">
        <w:rPr>
          <w:rFonts w:ascii="Times New Roman" w:hAnsi="Times New Roman" w:cs="Times New Roman"/>
          <w:sz w:val="24"/>
          <w:szCs w:val="24"/>
        </w:rPr>
        <w:t xml:space="preserve"> a kol. </w:t>
      </w:r>
      <w:proofErr w:type="gramStart"/>
      <w:r w:rsidRPr="00813882">
        <w:rPr>
          <w:rFonts w:ascii="Times New Roman" w:hAnsi="Times New Roman" w:cs="Times New Roman"/>
          <w:sz w:val="24"/>
          <w:szCs w:val="24"/>
        </w:rPr>
        <w:t>porovnávali</w:t>
      </w:r>
      <w:proofErr w:type="gramEnd"/>
      <w:r w:rsidRPr="00813882">
        <w:rPr>
          <w:rFonts w:ascii="Times New Roman" w:hAnsi="Times New Roman" w:cs="Times New Roman"/>
          <w:sz w:val="24"/>
          <w:szCs w:val="24"/>
        </w:rPr>
        <w:t xml:space="preserve"> přístupy k pacientům s dysfonií. U těchto pacientů bývá zvýšené svalové napětí a </w:t>
      </w:r>
      <w:proofErr w:type="spellStart"/>
      <w:r w:rsidRPr="00813882">
        <w:rPr>
          <w:rFonts w:ascii="Times New Roman" w:hAnsi="Times New Roman" w:cs="Times New Roman"/>
          <w:sz w:val="24"/>
          <w:szCs w:val="24"/>
        </w:rPr>
        <w:t>dyskomfort</w:t>
      </w:r>
      <w:proofErr w:type="spellEnd"/>
      <w:r w:rsidRPr="00813882">
        <w:rPr>
          <w:rFonts w:ascii="Times New Roman" w:hAnsi="Times New Roman" w:cs="Times New Roman"/>
          <w:sz w:val="24"/>
          <w:szCs w:val="24"/>
        </w:rPr>
        <w:t xml:space="preserve"> v okolních svalech.</w:t>
      </w:r>
    </w:p>
    <w:p w:rsidR="00D221DE" w:rsidRPr="00813882" w:rsidRDefault="00D221DE" w:rsidP="008138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882">
        <w:rPr>
          <w:rFonts w:ascii="Times New Roman" w:hAnsi="Times New Roman" w:cs="Times New Roman"/>
          <w:sz w:val="24"/>
          <w:szCs w:val="24"/>
        </w:rPr>
        <w:t>Porovnávali tedy:</w:t>
      </w:r>
    </w:p>
    <w:p w:rsidR="00D221DE" w:rsidRPr="00813882" w:rsidRDefault="00D221DE" w:rsidP="00813882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882">
        <w:rPr>
          <w:rFonts w:ascii="Times New Roman" w:hAnsi="Times New Roman" w:cs="Times New Roman"/>
          <w:sz w:val="24"/>
          <w:szCs w:val="24"/>
        </w:rPr>
        <w:t>Techniky usnadňující hlas</w:t>
      </w:r>
    </w:p>
    <w:p w:rsidR="00D221DE" w:rsidRPr="00813882" w:rsidRDefault="00D221DE" w:rsidP="00813882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882">
        <w:rPr>
          <w:rFonts w:ascii="Times New Roman" w:hAnsi="Times New Roman" w:cs="Times New Roman"/>
          <w:sz w:val="24"/>
          <w:szCs w:val="24"/>
        </w:rPr>
        <w:t xml:space="preserve">Manuální </w:t>
      </w:r>
      <w:proofErr w:type="spellStart"/>
      <w:r w:rsidRPr="00813882">
        <w:rPr>
          <w:rFonts w:ascii="Times New Roman" w:hAnsi="Times New Roman" w:cs="Times New Roman"/>
          <w:sz w:val="24"/>
          <w:szCs w:val="24"/>
        </w:rPr>
        <w:t>circumlaryngeální</w:t>
      </w:r>
      <w:proofErr w:type="spellEnd"/>
      <w:r w:rsidRPr="00813882">
        <w:rPr>
          <w:rFonts w:ascii="Times New Roman" w:hAnsi="Times New Roman" w:cs="Times New Roman"/>
          <w:sz w:val="24"/>
          <w:szCs w:val="24"/>
        </w:rPr>
        <w:t xml:space="preserve"> terapie MCT</w:t>
      </w:r>
    </w:p>
    <w:p w:rsidR="00D221DE" w:rsidRPr="00813882" w:rsidRDefault="00D221DE" w:rsidP="00813882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882">
        <w:rPr>
          <w:rFonts w:ascii="Times New Roman" w:hAnsi="Times New Roman" w:cs="Times New Roman"/>
          <w:sz w:val="24"/>
          <w:szCs w:val="24"/>
        </w:rPr>
        <w:t>Kombinovaný přístup</w:t>
      </w:r>
    </w:p>
    <w:p w:rsidR="00D221DE" w:rsidRDefault="00D221DE" w:rsidP="00813882">
      <w:pPr>
        <w:spacing w:line="360" w:lineRule="auto"/>
        <w:jc w:val="both"/>
        <w:rPr>
          <w:rFonts w:ascii="Times New Roman" w:hAnsi="Times New Roman" w:cs="Times New Roman"/>
          <w:color w:val="000000"/>
          <w:spacing w:val="15"/>
          <w:sz w:val="24"/>
          <w:szCs w:val="24"/>
        </w:rPr>
      </w:pPr>
      <w:r w:rsidRPr="00813882">
        <w:rPr>
          <w:rFonts w:ascii="Times New Roman" w:hAnsi="Times New Roman" w:cs="Times New Roman"/>
          <w:sz w:val="24"/>
          <w:szCs w:val="24"/>
        </w:rPr>
        <w:t>Při porovnání bylo zjištěno, že kombinovaný přístup je nejlepší. Určitě však poukazují na další výsledky právě s MCT – manipulace s </w:t>
      </w:r>
      <w:proofErr w:type="spellStart"/>
      <w:r w:rsidRPr="00813882">
        <w:rPr>
          <w:rFonts w:ascii="Times New Roman" w:hAnsi="Times New Roman" w:cs="Times New Roman"/>
          <w:sz w:val="24"/>
          <w:szCs w:val="24"/>
        </w:rPr>
        <w:t>hyodní</w:t>
      </w:r>
      <w:proofErr w:type="spellEnd"/>
      <w:r w:rsidRPr="008138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3882">
        <w:rPr>
          <w:rFonts w:ascii="Times New Roman" w:hAnsi="Times New Roman" w:cs="Times New Roman"/>
          <w:sz w:val="24"/>
          <w:szCs w:val="24"/>
        </w:rPr>
        <w:t xml:space="preserve">kostí </w:t>
      </w:r>
      <w:r w:rsidR="00813882" w:rsidRPr="008138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3882">
        <w:rPr>
          <w:rFonts w:ascii="Times New Roman" w:hAnsi="Times New Roman" w:cs="Times New Roman"/>
          <w:color w:val="000000"/>
          <w:spacing w:val="15"/>
          <w:sz w:val="24"/>
          <w:szCs w:val="24"/>
        </w:rPr>
        <w:t>thyrohyoidním</w:t>
      </w:r>
      <w:proofErr w:type="spellEnd"/>
      <w:proofErr w:type="gramEnd"/>
      <w:r w:rsidRPr="00813882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prostorem, hrtanem a mediálními a laterálními </w:t>
      </w:r>
      <w:proofErr w:type="spellStart"/>
      <w:r w:rsidRPr="00813882">
        <w:rPr>
          <w:rFonts w:ascii="Times New Roman" w:hAnsi="Times New Roman" w:cs="Times New Roman"/>
          <w:color w:val="000000"/>
          <w:spacing w:val="15"/>
          <w:sz w:val="24"/>
          <w:szCs w:val="24"/>
        </w:rPr>
        <w:t>suprahyoidními</w:t>
      </w:r>
      <w:proofErr w:type="spellEnd"/>
      <w:r w:rsidRPr="00813882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svaly</w:t>
      </w:r>
      <w:r w:rsidR="00813882" w:rsidRPr="00813882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(masáží, </w:t>
      </w:r>
      <w:proofErr w:type="spellStart"/>
      <w:r w:rsidR="00813882" w:rsidRPr="00813882">
        <w:rPr>
          <w:rFonts w:ascii="Times New Roman" w:hAnsi="Times New Roman" w:cs="Times New Roman"/>
          <w:color w:val="000000"/>
          <w:spacing w:val="15"/>
          <w:sz w:val="24"/>
          <w:szCs w:val="24"/>
        </w:rPr>
        <w:t>hnětěním</w:t>
      </w:r>
      <w:proofErr w:type="spellEnd"/>
      <w:r w:rsidR="00813882" w:rsidRPr="00813882">
        <w:rPr>
          <w:rFonts w:ascii="Times New Roman" w:hAnsi="Times New Roman" w:cs="Times New Roman"/>
          <w:color w:val="000000"/>
          <w:spacing w:val="15"/>
          <w:sz w:val="24"/>
          <w:szCs w:val="24"/>
        </w:rPr>
        <w:t>, protahováním apod.). Výhody byly potvrzeny v </w:t>
      </w:r>
      <w:proofErr w:type="spellStart"/>
      <w:r w:rsidR="00813882" w:rsidRPr="00813882">
        <w:rPr>
          <w:rFonts w:ascii="Times New Roman" w:hAnsi="Times New Roman" w:cs="Times New Roman"/>
          <w:color w:val="000000"/>
          <w:spacing w:val="15"/>
          <w:sz w:val="24"/>
          <w:szCs w:val="24"/>
        </w:rPr>
        <w:t>metaanalýze</w:t>
      </w:r>
      <w:proofErr w:type="spellEnd"/>
      <w:r w:rsidR="00813882" w:rsidRPr="00813882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spellStart"/>
      <w:r w:rsidR="00813882" w:rsidRPr="00813882">
        <w:rPr>
          <w:rFonts w:ascii="Times New Roman" w:hAnsi="Times New Roman" w:cs="Times New Roman"/>
          <w:color w:val="000000"/>
          <w:spacing w:val="15"/>
          <w:sz w:val="24"/>
          <w:szCs w:val="24"/>
        </w:rPr>
        <w:t>Latoszka</w:t>
      </w:r>
      <w:proofErr w:type="spellEnd"/>
      <w:r w:rsidR="00813882" w:rsidRPr="00813882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a kol. Pro tuto metodu je však důležité proškolení a dobrá znalost anatomie. </w:t>
      </w:r>
    </w:p>
    <w:p w:rsidR="00813882" w:rsidRPr="00813882" w:rsidRDefault="00813882" w:rsidP="00813882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5"/>
          <w:kern w:val="0"/>
          <w:sz w:val="20"/>
          <w:szCs w:val="20"/>
          <w:lang w:eastAsia="cs-CZ"/>
        </w:rPr>
      </w:pPr>
      <w:hyperlink r:id="rId5" w:tgtFrame="_blank" w:history="1">
        <w:r w:rsidRPr="00813882">
          <w:rPr>
            <w:rFonts w:ascii="Times New Roman" w:eastAsia="Times New Roman" w:hAnsi="Times New Roman" w:cs="Times New Roman"/>
            <w:spacing w:val="15"/>
            <w:kern w:val="0"/>
            <w:sz w:val="20"/>
            <w:szCs w:val="20"/>
            <w:lang w:eastAsia="cs-CZ"/>
          </w:rPr>
          <w:t>Latoszek, B. B. v., Watts, C. R., &amp; Hetjens, S. (2023). The efficacy of the manual circumlaryngeal therapy for muscle tension dysphonia: A systematic review and meta-analysis. </w:t>
        </w:r>
        <w:r w:rsidRPr="00813882">
          <w:rPr>
            <w:rFonts w:ascii="Times New Roman" w:eastAsia="Times New Roman" w:hAnsi="Times New Roman" w:cs="Times New Roman"/>
            <w:i/>
            <w:iCs/>
            <w:spacing w:val="15"/>
            <w:kern w:val="0"/>
            <w:sz w:val="20"/>
            <w:szCs w:val="20"/>
            <w:lang w:eastAsia="cs-CZ"/>
          </w:rPr>
          <w:t>The Laryngoscope</w:t>
        </w:r>
        <w:r w:rsidRPr="00813882">
          <w:rPr>
            <w:rFonts w:ascii="Times New Roman" w:eastAsia="Times New Roman" w:hAnsi="Times New Roman" w:cs="Times New Roman"/>
            <w:spacing w:val="15"/>
            <w:kern w:val="0"/>
            <w:sz w:val="20"/>
            <w:szCs w:val="20"/>
            <w:lang w:eastAsia="cs-CZ"/>
          </w:rPr>
          <w:t>. https://doi.org/10.1002/lary.30850</w:t>
        </w:r>
      </w:hyperlink>
      <w:r w:rsidRPr="00813882">
        <w:rPr>
          <w:rFonts w:ascii="Times New Roman" w:eastAsia="Times New Roman" w:hAnsi="Times New Roman" w:cs="Times New Roman"/>
          <w:spacing w:val="15"/>
          <w:kern w:val="0"/>
          <w:sz w:val="20"/>
          <w:szCs w:val="20"/>
          <w:lang w:eastAsia="cs-CZ"/>
        </w:rPr>
        <w:t xml:space="preserve"> [open </w:t>
      </w:r>
      <w:proofErr w:type="spellStart"/>
      <w:r w:rsidRPr="00813882">
        <w:rPr>
          <w:rFonts w:ascii="Times New Roman" w:eastAsia="Times New Roman" w:hAnsi="Times New Roman" w:cs="Times New Roman"/>
          <w:spacing w:val="15"/>
          <w:kern w:val="0"/>
          <w:sz w:val="20"/>
          <w:szCs w:val="20"/>
          <w:lang w:eastAsia="cs-CZ"/>
        </w:rPr>
        <w:t>access</w:t>
      </w:r>
      <w:proofErr w:type="spellEnd"/>
      <w:r w:rsidRPr="00813882">
        <w:rPr>
          <w:rFonts w:ascii="Times New Roman" w:eastAsia="Times New Roman" w:hAnsi="Times New Roman" w:cs="Times New Roman"/>
          <w:spacing w:val="15"/>
          <w:kern w:val="0"/>
          <w:sz w:val="20"/>
          <w:szCs w:val="20"/>
          <w:lang w:eastAsia="cs-CZ"/>
        </w:rPr>
        <w:t>]</w:t>
      </w:r>
    </w:p>
    <w:p w:rsidR="00813882" w:rsidRPr="00813882" w:rsidRDefault="00813882" w:rsidP="00813882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5"/>
          <w:kern w:val="0"/>
          <w:sz w:val="20"/>
          <w:szCs w:val="20"/>
          <w:lang w:eastAsia="cs-CZ"/>
        </w:rPr>
      </w:pPr>
      <w:r w:rsidRPr="00813882">
        <w:rPr>
          <w:rFonts w:ascii="Times New Roman" w:eastAsia="Times New Roman" w:hAnsi="Times New Roman" w:cs="Times New Roman"/>
          <w:spacing w:val="15"/>
          <w:kern w:val="0"/>
          <w:sz w:val="20"/>
          <w:szCs w:val="20"/>
          <w:lang w:eastAsia="cs-CZ"/>
        </w:rPr>
        <w:t> </w:t>
      </w:r>
    </w:p>
    <w:p w:rsidR="00813882" w:rsidRPr="00813882" w:rsidRDefault="00813882" w:rsidP="00813882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5"/>
          <w:kern w:val="0"/>
          <w:sz w:val="20"/>
          <w:szCs w:val="20"/>
          <w:lang w:eastAsia="cs-CZ"/>
        </w:rPr>
      </w:pPr>
      <w:hyperlink r:id="rId6" w:tgtFrame="_blank" w:history="1">
        <w:r w:rsidRPr="00813882">
          <w:rPr>
            <w:rFonts w:ascii="Times New Roman" w:eastAsia="Times New Roman" w:hAnsi="Times New Roman" w:cs="Times New Roman"/>
            <w:spacing w:val="15"/>
            <w:kern w:val="0"/>
            <w:sz w:val="20"/>
            <w:szCs w:val="20"/>
            <w:lang w:eastAsia="cs-CZ"/>
          </w:rPr>
          <w:t>Maryam Khoddami, S., Aghadoost, S., Jalaie, S., &amp; Dabirmoghaddam, P. (2023). The comparison between vocal facilitating techniques, manual circumlaryngeal therapy, and combined voice therapy in teachers with muscle tension dysphonia: a randomized clinical trial. </w:t>
        </w:r>
        <w:r w:rsidRPr="00813882">
          <w:rPr>
            <w:rFonts w:ascii="Times New Roman" w:eastAsia="Times New Roman" w:hAnsi="Times New Roman" w:cs="Times New Roman"/>
            <w:i/>
            <w:iCs/>
            <w:spacing w:val="15"/>
            <w:kern w:val="0"/>
            <w:sz w:val="20"/>
            <w:szCs w:val="20"/>
            <w:lang w:eastAsia="cs-CZ"/>
          </w:rPr>
          <w:t>European Archives of Oto-Rhino-Laryngology</w:t>
        </w:r>
        <w:r w:rsidRPr="00813882">
          <w:rPr>
            <w:rFonts w:ascii="Times New Roman" w:eastAsia="Times New Roman" w:hAnsi="Times New Roman" w:cs="Times New Roman"/>
            <w:spacing w:val="15"/>
            <w:kern w:val="0"/>
            <w:sz w:val="20"/>
            <w:szCs w:val="20"/>
            <w:lang w:eastAsia="cs-CZ"/>
          </w:rPr>
          <w:t>.</w:t>
        </w:r>
      </w:hyperlink>
      <w:r w:rsidRPr="00813882">
        <w:rPr>
          <w:rFonts w:ascii="Times New Roman" w:eastAsia="Times New Roman" w:hAnsi="Times New Roman" w:cs="Times New Roman"/>
          <w:spacing w:val="15"/>
          <w:kern w:val="0"/>
          <w:sz w:val="20"/>
          <w:szCs w:val="20"/>
          <w:lang w:eastAsia="cs-CZ"/>
        </w:rPr>
        <w:t> </w:t>
      </w:r>
      <w:hyperlink r:id="rId7" w:tgtFrame="_blank" w:history="1">
        <w:r w:rsidRPr="00813882">
          <w:rPr>
            <w:rFonts w:ascii="Times New Roman" w:eastAsia="Times New Roman" w:hAnsi="Times New Roman" w:cs="Times New Roman"/>
            <w:spacing w:val="15"/>
            <w:kern w:val="0"/>
            <w:sz w:val="20"/>
            <w:szCs w:val="20"/>
            <w:lang w:eastAsia="cs-CZ"/>
          </w:rPr>
          <w:t>https://doi.org/10.1007/s00405-023-08042-5</w:t>
        </w:r>
      </w:hyperlink>
      <w:r w:rsidRPr="00813882">
        <w:rPr>
          <w:rFonts w:ascii="Times New Roman" w:eastAsia="Times New Roman" w:hAnsi="Times New Roman" w:cs="Times New Roman"/>
          <w:spacing w:val="15"/>
          <w:kern w:val="0"/>
          <w:sz w:val="20"/>
          <w:szCs w:val="20"/>
          <w:lang w:eastAsia="cs-CZ"/>
        </w:rPr>
        <w:t xml:space="preserve"> [open </w:t>
      </w:r>
      <w:proofErr w:type="spellStart"/>
      <w:r w:rsidRPr="00813882">
        <w:rPr>
          <w:rFonts w:ascii="Times New Roman" w:eastAsia="Times New Roman" w:hAnsi="Times New Roman" w:cs="Times New Roman"/>
          <w:spacing w:val="15"/>
          <w:kern w:val="0"/>
          <w:sz w:val="20"/>
          <w:szCs w:val="20"/>
          <w:lang w:eastAsia="cs-CZ"/>
        </w:rPr>
        <w:t>access</w:t>
      </w:r>
      <w:proofErr w:type="spellEnd"/>
      <w:r w:rsidRPr="00813882">
        <w:rPr>
          <w:rFonts w:ascii="Times New Roman" w:eastAsia="Times New Roman" w:hAnsi="Times New Roman" w:cs="Times New Roman"/>
          <w:spacing w:val="15"/>
          <w:kern w:val="0"/>
          <w:sz w:val="20"/>
          <w:szCs w:val="20"/>
          <w:lang w:eastAsia="cs-CZ"/>
        </w:rPr>
        <w:t>]</w:t>
      </w:r>
    </w:p>
    <w:p w:rsidR="00813882" w:rsidRDefault="00813882" w:rsidP="00813882"/>
    <w:tbl>
      <w:tblPr>
        <w:tblStyle w:val="Mkatabulky"/>
        <w:tblW w:w="0" w:type="auto"/>
        <w:tblInd w:w="0" w:type="dxa"/>
        <w:tblLook w:val="04A0"/>
      </w:tblPr>
      <w:tblGrid>
        <w:gridCol w:w="9062"/>
      </w:tblGrid>
      <w:tr w:rsidR="00813882" w:rsidTr="0081388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2" w:rsidRDefault="00813882" w:rsidP="008138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Strategie</w:t>
            </w:r>
            <w:r w:rsidR="00D26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D26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pojmenování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 pacientů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 chronickou afázií </w:t>
            </w:r>
          </w:p>
        </w:tc>
      </w:tr>
    </w:tbl>
    <w:p w:rsidR="00813882" w:rsidRDefault="00813882" w:rsidP="008138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882" w:rsidRDefault="00813882" w:rsidP="008138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Analýza sémantických vlastností (SFA)</w:t>
      </w:r>
      <w:r w:rsidR="00D2637E">
        <w:rPr>
          <w:rFonts w:ascii="Times New Roman" w:hAnsi="Times New Roman" w:cs="Times New Roman"/>
          <w:sz w:val="24"/>
          <w:szCs w:val="24"/>
        </w:rPr>
        <w:t xml:space="preserve"> – 6 kroků pro usnadnění pojmenování a používání slov. Cílem je naučit pacienta strategii jak slova vybavit.</w:t>
      </w:r>
    </w:p>
    <w:p w:rsidR="00D2637E" w:rsidRPr="00D2637E" w:rsidRDefault="00D2637E" w:rsidP="00D2637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</w:pPr>
      <w:proofErr w:type="gramStart"/>
      <w:r w:rsidRPr="00D2637E">
        <w:rPr>
          <w:rFonts w:ascii="Times New Roman" w:eastAsia="Times New Roman" w:hAnsi="Times New Roman" w:cs="Times New Roman"/>
          <w:b/>
          <w:bCs/>
          <w:color w:val="000000"/>
          <w:spacing w:val="15"/>
          <w:kern w:val="0"/>
          <w:sz w:val="24"/>
          <w:szCs w:val="24"/>
          <w:lang w:eastAsia="cs-CZ"/>
        </w:rPr>
        <w:t>Kategorie</w:t>
      </w:r>
      <w:r w:rsidRPr="00D2637E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  <w:t> : O jaký</w:t>
      </w:r>
      <w:proofErr w:type="gramEnd"/>
      <w:r w:rsidRPr="00D2637E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  <w:t xml:space="preserve"> typ věci se jedná?</w:t>
      </w:r>
    </w:p>
    <w:p w:rsidR="00D2637E" w:rsidRPr="00D2637E" w:rsidRDefault="00D2637E" w:rsidP="00D2637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</w:pPr>
      <w:proofErr w:type="gramStart"/>
      <w:r w:rsidRPr="00D2637E">
        <w:rPr>
          <w:rFonts w:ascii="Times New Roman" w:eastAsia="Times New Roman" w:hAnsi="Times New Roman" w:cs="Times New Roman"/>
          <w:b/>
          <w:bCs/>
          <w:color w:val="000000"/>
          <w:spacing w:val="15"/>
          <w:kern w:val="0"/>
          <w:sz w:val="24"/>
          <w:szCs w:val="24"/>
          <w:lang w:eastAsia="cs-CZ"/>
        </w:rPr>
        <w:t>Funkce</w:t>
      </w:r>
      <w:r w:rsidRPr="00D2637E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  <w:t> : K čemu</w:t>
      </w:r>
      <w:proofErr w:type="gramEnd"/>
      <w:r w:rsidRPr="00D2637E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  <w:t xml:space="preserve"> slouží?</w:t>
      </w:r>
    </w:p>
    <w:p w:rsidR="00D2637E" w:rsidRPr="00D2637E" w:rsidRDefault="00D2637E" w:rsidP="00D2637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</w:pPr>
      <w:proofErr w:type="gramStart"/>
      <w:r w:rsidRPr="00D2637E">
        <w:rPr>
          <w:rFonts w:ascii="Times New Roman" w:eastAsia="Times New Roman" w:hAnsi="Times New Roman" w:cs="Times New Roman"/>
          <w:b/>
          <w:bCs/>
          <w:color w:val="000000"/>
          <w:spacing w:val="15"/>
          <w:kern w:val="0"/>
          <w:sz w:val="24"/>
          <w:szCs w:val="24"/>
          <w:lang w:eastAsia="cs-CZ"/>
        </w:rPr>
        <w:t>Akce</w:t>
      </w:r>
      <w:r w:rsidRPr="00D2637E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  <w:t> : Co</w:t>
      </w:r>
      <w:proofErr w:type="gramEnd"/>
      <w:r w:rsidRPr="00D2637E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  <w:t xml:space="preserve"> to dělá?</w:t>
      </w:r>
    </w:p>
    <w:p w:rsidR="00D2637E" w:rsidRPr="00D2637E" w:rsidRDefault="00D2637E" w:rsidP="00D2637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</w:pPr>
      <w:proofErr w:type="gramStart"/>
      <w:r w:rsidRPr="00D2637E">
        <w:rPr>
          <w:rFonts w:ascii="Times New Roman" w:eastAsia="Times New Roman" w:hAnsi="Times New Roman" w:cs="Times New Roman"/>
          <w:b/>
          <w:bCs/>
          <w:color w:val="000000"/>
          <w:spacing w:val="15"/>
          <w:kern w:val="0"/>
          <w:sz w:val="24"/>
          <w:szCs w:val="24"/>
          <w:lang w:eastAsia="cs-CZ"/>
        </w:rPr>
        <w:lastRenderedPageBreak/>
        <w:t>Umístění</w:t>
      </w:r>
      <w:r w:rsidRPr="00D2637E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  <w:t> : Kde</w:t>
      </w:r>
      <w:proofErr w:type="gramEnd"/>
      <w:r w:rsidRPr="00D2637E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  <w:t xml:space="preserve"> to najdete?</w:t>
      </w:r>
    </w:p>
    <w:p w:rsidR="00D2637E" w:rsidRPr="00D2637E" w:rsidRDefault="00D2637E" w:rsidP="00D2637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</w:pPr>
      <w:proofErr w:type="gramStart"/>
      <w:r w:rsidRPr="00D2637E">
        <w:rPr>
          <w:rFonts w:ascii="Times New Roman" w:eastAsia="Times New Roman" w:hAnsi="Times New Roman" w:cs="Times New Roman"/>
          <w:b/>
          <w:bCs/>
          <w:color w:val="000000"/>
          <w:spacing w:val="15"/>
          <w:kern w:val="0"/>
          <w:sz w:val="24"/>
          <w:szCs w:val="24"/>
          <w:lang w:eastAsia="cs-CZ"/>
        </w:rPr>
        <w:t>Asociace</w:t>
      </w:r>
      <w:r w:rsidRPr="00D2637E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  <w:t> : S čím</w:t>
      </w:r>
      <w:proofErr w:type="gramEnd"/>
      <w:r w:rsidRPr="00D2637E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  <w:t xml:space="preserve"> to souvisí? Na co tě to nutí myslet?</w:t>
      </w:r>
    </w:p>
    <w:p w:rsidR="00D2637E" w:rsidRPr="00D2637E" w:rsidRDefault="00D2637E" w:rsidP="00D2637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</w:pPr>
      <w:proofErr w:type="gramStart"/>
      <w:r w:rsidRPr="00D2637E">
        <w:rPr>
          <w:rFonts w:ascii="SF Text" w:eastAsia="Times New Roman" w:hAnsi="SF Text" w:cs="Times New Roman"/>
          <w:b/>
          <w:bCs/>
          <w:color w:val="000000"/>
          <w:spacing w:val="15"/>
          <w:kern w:val="0"/>
          <w:sz w:val="24"/>
          <w:szCs w:val="24"/>
          <w:lang w:eastAsia="cs-CZ"/>
        </w:rPr>
        <w:t>Vlastnosti</w:t>
      </w:r>
      <w:r w:rsidRPr="00D2637E">
        <w:rPr>
          <w:rFonts w:ascii="SF Text" w:eastAsia="Times New Roman" w:hAnsi="SF Text" w:cs="Times New Roman"/>
          <w:color w:val="000000"/>
          <w:spacing w:val="15"/>
          <w:kern w:val="0"/>
          <w:sz w:val="24"/>
          <w:szCs w:val="24"/>
          <w:lang w:eastAsia="cs-CZ"/>
        </w:rPr>
        <w:t> : Jak</w:t>
      </w:r>
      <w:proofErr w:type="gramEnd"/>
      <w:r w:rsidRPr="00D2637E">
        <w:rPr>
          <w:rFonts w:ascii="SF Text" w:eastAsia="Times New Roman" w:hAnsi="SF Text" w:cs="Times New Roman"/>
          <w:color w:val="000000"/>
          <w:spacing w:val="15"/>
          <w:kern w:val="0"/>
          <w:sz w:val="24"/>
          <w:szCs w:val="24"/>
          <w:lang w:eastAsia="cs-CZ"/>
        </w:rPr>
        <w:t xml:space="preserve"> to vypadá? (barva, tvar, velikost) Jaký je to </w:t>
      </w:r>
      <w:r w:rsidRPr="00D2637E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  <w:t>pocit/chuť/zvuk?</w:t>
      </w:r>
    </w:p>
    <w:p w:rsidR="00D2637E" w:rsidRPr="00D2637E" w:rsidRDefault="00D2637E" w:rsidP="00D2637E">
      <w:pPr>
        <w:spacing w:line="360" w:lineRule="auto"/>
        <w:jc w:val="both"/>
        <w:rPr>
          <w:rFonts w:ascii="Times New Roman" w:hAnsi="Times New Roman" w:cs="Times New Roman"/>
          <w:color w:val="222222"/>
          <w:spacing w:val="15"/>
          <w:sz w:val="24"/>
          <w:szCs w:val="24"/>
        </w:rPr>
      </w:pPr>
      <w:hyperlink r:id="rId8" w:tgtFrame="_blank" w:history="1">
        <w:proofErr w:type="spellStart"/>
        <w:r w:rsidRPr="00D2637E">
          <w:rPr>
            <w:rStyle w:val="Hypertextovodkaz"/>
            <w:rFonts w:ascii="Times New Roman" w:hAnsi="Times New Roman" w:cs="Times New Roman"/>
            <w:color w:val="auto"/>
            <w:spacing w:val="15"/>
            <w:sz w:val="24"/>
            <w:szCs w:val="24"/>
            <w:u w:val="none"/>
          </w:rPr>
          <w:t>Tilton</w:t>
        </w:r>
        <w:proofErr w:type="spellEnd"/>
        <w:r w:rsidRPr="00D2637E">
          <w:rPr>
            <w:rStyle w:val="Hypertextovodkaz"/>
            <w:rFonts w:ascii="Times New Roman" w:hAnsi="Times New Roman" w:cs="Times New Roman"/>
            <w:color w:val="auto"/>
            <w:spacing w:val="15"/>
            <w:sz w:val="24"/>
            <w:szCs w:val="24"/>
            <w:u w:val="none"/>
          </w:rPr>
          <w:t>-</w:t>
        </w:r>
        <w:proofErr w:type="spellStart"/>
        <w:r w:rsidRPr="00D2637E">
          <w:rPr>
            <w:rStyle w:val="Hypertextovodkaz"/>
            <w:rFonts w:ascii="Times New Roman" w:hAnsi="Times New Roman" w:cs="Times New Roman"/>
            <w:color w:val="auto"/>
            <w:spacing w:val="15"/>
            <w:sz w:val="24"/>
            <w:szCs w:val="24"/>
            <w:u w:val="none"/>
          </w:rPr>
          <w:t>Bolowsky</w:t>
        </w:r>
        <w:proofErr w:type="spellEnd"/>
        <w:r w:rsidRPr="00D2637E">
          <w:rPr>
            <w:rStyle w:val="Hypertextovodkaz"/>
            <w:rFonts w:ascii="Times New Roman" w:hAnsi="Times New Roman" w:cs="Times New Roman"/>
            <w:color w:val="auto"/>
            <w:spacing w:val="15"/>
            <w:sz w:val="24"/>
            <w:szCs w:val="24"/>
            <w:u w:val="none"/>
          </w:rPr>
          <w:t xml:space="preserve"> a kol. </w:t>
        </w:r>
      </w:hyperlink>
      <w:r w:rsidRPr="00D2637E">
        <w:rPr>
          <w:rFonts w:ascii="Times New Roman" w:hAnsi="Times New Roman" w:cs="Times New Roman"/>
          <w:color w:val="222222"/>
          <w:spacing w:val="15"/>
          <w:sz w:val="24"/>
          <w:szCs w:val="24"/>
        </w:rPr>
        <w:t>kombinoval</w:t>
      </w:r>
      <w:r w:rsidRPr="00D2637E">
        <w:rPr>
          <w:rStyle w:val="Siln"/>
          <w:rFonts w:ascii="Times New Roman" w:hAnsi="Times New Roman" w:cs="Times New Roman"/>
          <w:color w:val="222222"/>
          <w:spacing w:val="15"/>
          <w:sz w:val="24"/>
          <w:szCs w:val="24"/>
        </w:rPr>
        <w:t xml:space="preserve"> SFA s nácvikem </w:t>
      </w:r>
      <w:proofErr w:type="spellStart"/>
      <w:r w:rsidRPr="00D2637E">
        <w:rPr>
          <w:rStyle w:val="Siln"/>
          <w:rFonts w:ascii="Times New Roman" w:hAnsi="Times New Roman" w:cs="Times New Roman"/>
          <w:color w:val="222222"/>
          <w:spacing w:val="15"/>
          <w:sz w:val="24"/>
          <w:szCs w:val="24"/>
        </w:rPr>
        <w:t>metakognitivních</w:t>
      </w:r>
      <w:proofErr w:type="spellEnd"/>
      <w:r w:rsidRPr="00D2637E">
        <w:rPr>
          <w:rStyle w:val="Siln"/>
          <w:rFonts w:ascii="Times New Roman" w:hAnsi="Times New Roman" w:cs="Times New Roman"/>
          <w:color w:val="222222"/>
          <w:spacing w:val="15"/>
          <w:sz w:val="24"/>
          <w:szCs w:val="24"/>
        </w:rPr>
        <w:t xml:space="preserve"> strategií</w:t>
      </w:r>
      <w:r w:rsidRPr="00D2637E">
        <w:rPr>
          <w:rFonts w:ascii="Times New Roman" w:hAnsi="Times New Roman" w:cs="Times New Roman"/>
          <w:color w:val="222222"/>
          <w:spacing w:val="15"/>
          <w:sz w:val="24"/>
          <w:szCs w:val="24"/>
        </w:rPr>
        <w:t> pro cílené pojmenování a uvedl příklad terapie:</w:t>
      </w:r>
    </w:p>
    <w:p w:rsidR="00D2637E" w:rsidRDefault="00D2637E" w:rsidP="008138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760720" cy="5877370"/>
            <wp:effectExtent l="19050" t="0" r="0" b="0"/>
            <wp:docPr id="1" name="obrázek 1" descr="jak udělat analýzu sémantických rysů + metakognitivní trénink afázie, The Informed S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k udělat analýzu sémantických rysů + metakognitivní trénink afázie, The Informed SL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7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37E" w:rsidRPr="001A0CCC" w:rsidRDefault="00D2637E" w:rsidP="00D2637E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1A0CCC">
        <w:rPr>
          <w:rFonts w:ascii="Times New Roman" w:eastAsia="Times New Roman" w:hAnsi="Times New Roman" w:cs="Times New Roman"/>
          <w:b/>
          <w:bCs/>
          <w:spacing w:val="15"/>
          <w:kern w:val="0"/>
          <w:sz w:val="24"/>
          <w:szCs w:val="24"/>
          <w:lang w:eastAsia="cs-CZ"/>
        </w:rPr>
        <w:t>10-15 minut výuky strategie vyhledávání slov</w:t>
      </w:r>
    </w:p>
    <w:p w:rsidR="00D2637E" w:rsidRPr="001A0CCC" w:rsidRDefault="00D2637E" w:rsidP="001A0CC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</w:pPr>
      <w:r w:rsidRPr="001A0CCC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  <w:t xml:space="preserve">Promluvte si o strategiích hledání slov, abyste pacienti </w:t>
      </w:r>
      <w:r w:rsidRPr="001A0CCC">
        <w:rPr>
          <w:rFonts w:ascii="Times New Roman" w:eastAsia="Times New Roman" w:hAnsi="Times New Roman" w:cs="Times New Roman"/>
          <w:iCs/>
          <w:color w:val="000000"/>
          <w:spacing w:val="15"/>
          <w:kern w:val="0"/>
          <w:sz w:val="24"/>
          <w:szCs w:val="24"/>
          <w:lang w:eastAsia="cs-CZ"/>
        </w:rPr>
        <w:t>jasně věděli</w:t>
      </w:r>
      <w:r w:rsidRPr="001A0CCC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  <w:t xml:space="preserve">, kdy, jak a proč používat </w:t>
      </w:r>
      <w:proofErr w:type="spellStart"/>
      <w:r w:rsidRPr="001A0CCC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  <w:t>cirkumlokuci</w:t>
      </w:r>
      <w:proofErr w:type="spellEnd"/>
      <w:r w:rsidRPr="001A0CCC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  <w:t xml:space="preserve"> jako strategii, protože se to týká jejich </w:t>
      </w:r>
      <w:r w:rsidRPr="001A0CCC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  <w:lastRenderedPageBreak/>
        <w:t xml:space="preserve">symptomů afázie a každodenní komunikace. Povzbuzujte a kontrolujte, zda vaši klienti nezávisle používají </w:t>
      </w:r>
      <w:proofErr w:type="spellStart"/>
      <w:r w:rsidRPr="001A0CCC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  <w:t>cirkumlokuci</w:t>
      </w:r>
      <w:proofErr w:type="spellEnd"/>
      <w:r w:rsidRPr="001A0CCC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  <w:t xml:space="preserve"> během potenciálních skutečných případů anomie.</w:t>
      </w:r>
    </w:p>
    <w:p w:rsidR="00D2637E" w:rsidRPr="001A0CCC" w:rsidRDefault="00D2637E" w:rsidP="001A0CC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</w:pPr>
      <w:r w:rsidRPr="001A0CCC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  <w:t>Uveďte příklady šesti složek</w:t>
      </w:r>
      <w:r w:rsidRPr="001A0CCC">
        <w:rPr>
          <w:rFonts w:ascii="Times New Roman" w:eastAsia="Times New Roman" w:hAnsi="Times New Roman" w:cs="Times New Roman"/>
          <w:spacing w:val="15"/>
          <w:kern w:val="0"/>
          <w:sz w:val="24"/>
          <w:szCs w:val="24"/>
          <w:lang w:eastAsia="cs-CZ"/>
        </w:rPr>
        <w:t> </w:t>
      </w:r>
      <w:hyperlink r:id="rId10" w:tgtFrame="_blank" w:history="1">
        <w:r w:rsidRPr="001A0CCC">
          <w:rPr>
            <w:rFonts w:ascii="Times New Roman" w:eastAsia="Times New Roman" w:hAnsi="Times New Roman" w:cs="Times New Roman"/>
            <w:spacing w:val="15"/>
            <w:kern w:val="0"/>
            <w:sz w:val="24"/>
            <w:szCs w:val="24"/>
            <w:lang w:eastAsia="cs-CZ"/>
          </w:rPr>
          <w:t>SFA</w:t>
        </w:r>
      </w:hyperlink>
      <w:r w:rsidRPr="001A0CCC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  <w:t xml:space="preserve"> a popište, jak jim každá složka může pomoci najít slovo – nebo jak pomoci jejich komunikačním partnerům pochopit, co se snaží říct.</w:t>
      </w:r>
    </w:p>
    <w:p w:rsidR="00D2637E" w:rsidRPr="001A0CCC" w:rsidRDefault="00D2637E" w:rsidP="00D2637E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1A0CCC">
        <w:rPr>
          <w:rFonts w:ascii="Times New Roman" w:eastAsia="Times New Roman" w:hAnsi="Times New Roman" w:cs="Times New Roman"/>
          <w:b/>
          <w:bCs/>
          <w:spacing w:val="15"/>
          <w:kern w:val="0"/>
          <w:sz w:val="24"/>
          <w:szCs w:val="24"/>
          <w:lang w:eastAsia="cs-CZ"/>
        </w:rPr>
        <w:t xml:space="preserve">II. 40 minut </w:t>
      </w:r>
      <w:proofErr w:type="spellStart"/>
      <w:r w:rsidRPr="001A0CCC">
        <w:rPr>
          <w:rFonts w:ascii="Times New Roman" w:eastAsia="Times New Roman" w:hAnsi="Times New Roman" w:cs="Times New Roman"/>
          <w:b/>
          <w:bCs/>
          <w:spacing w:val="15"/>
          <w:kern w:val="0"/>
          <w:sz w:val="24"/>
          <w:szCs w:val="24"/>
          <w:lang w:eastAsia="cs-CZ"/>
        </w:rPr>
        <w:t>metakognitivní</w:t>
      </w:r>
      <w:proofErr w:type="spellEnd"/>
      <w:r w:rsidRPr="001A0CCC">
        <w:rPr>
          <w:rFonts w:ascii="Times New Roman" w:eastAsia="Times New Roman" w:hAnsi="Times New Roman" w:cs="Times New Roman"/>
          <w:b/>
          <w:bCs/>
          <w:spacing w:val="15"/>
          <w:kern w:val="0"/>
          <w:sz w:val="24"/>
          <w:szCs w:val="24"/>
          <w:lang w:eastAsia="cs-CZ"/>
        </w:rPr>
        <w:t xml:space="preserve"> výuky, procvičování strategie a pojmenování</w:t>
      </w:r>
    </w:p>
    <w:p w:rsidR="00D2637E" w:rsidRPr="001A0CCC" w:rsidRDefault="00D2637E" w:rsidP="001A0CCC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</w:pPr>
      <w:r w:rsidRPr="001A0CCC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  <w:t>P</w:t>
      </w:r>
      <w:r w:rsidR="001A0CCC" w:rsidRPr="001A0CCC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  <w:t>ředložte</w:t>
      </w:r>
      <w:r w:rsidRPr="001A0CCC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  <w:t xml:space="preserve"> pacient</w:t>
      </w:r>
      <w:r w:rsidR="001A0CCC" w:rsidRPr="001A0CCC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  <w:t>ovi obrázek</w:t>
      </w:r>
      <w:r w:rsidRPr="001A0CCC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  <w:t xml:space="preserve"> a zeptejte se, zda si myslí, že jej dokáže pojmenovat do 5 sekund.</w:t>
      </w:r>
    </w:p>
    <w:p w:rsidR="00D2637E" w:rsidRPr="001A0CCC" w:rsidRDefault="00D2637E" w:rsidP="001A0CCC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</w:pPr>
      <w:r w:rsidRPr="001A0CCC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  <w:t>Pokud to nedokážou nebo to pojmenují nesprávně, požádejte je, aby pojmenovali nějaké strategie, které by mohli nebo mohli použít, aby jim pomohli pojmenovat obrázek. Použijte výzvu: </w:t>
      </w:r>
      <w:r w:rsidRPr="001A0CCC">
        <w:rPr>
          <w:rFonts w:ascii="Times New Roman" w:eastAsia="Times New Roman" w:hAnsi="Times New Roman" w:cs="Times New Roman"/>
          <w:i/>
          <w:iCs/>
          <w:color w:val="000000"/>
          <w:spacing w:val="15"/>
          <w:kern w:val="0"/>
          <w:sz w:val="24"/>
          <w:szCs w:val="24"/>
          <w:lang w:eastAsia="cs-CZ"/>
        </w:rPr>
        <w:t>"Pokud jméno nepřichází, co můžete dělat dál?" </w:t>
      </w:r>
    </w:p>
    <w:p w:rsidR="00D2637E" w:rsidRPr="001A0CCC" w:rsidRDefault="00D2637E" w:rsidP="001A0CCC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</w:pPr>
      <w:r w:rsidRPr="001A0CCC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  <w:t>Dále je nechte vygenerovat alespoň 3 funkce napříč 6 komponentami SFA, s podněty podle potřeby, a poté tyto funkce přiřaďte ke komponentám SFA. Nakonec požádejte svého klienta, aby určil, které funkce by použil, až se s daným objektem setká příště a nebude jej moci pojmenovat.</w:t>
      </w:r>
    </w:p>
    <w:p w:rsidR="00D2637E" w:rsidRPr="001A0CCC" w:rsidRDefault="00D2637E" w:rsidP="00D2637E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1A0CCC">
        <w:rPr>
          <w:rFonts w:ascii="Times New Roman" w:eastAsia="Times New Roman" w:hAnsi="Times New Roman" w:cs="Times New Roman"/>
          <w:b/>
          <w:bCs/>
          <w:spacing w:val="15"/>
          <w:kern w:val="0"/>
          <w:sz w:val="24"/>
          <w:szCs w:val="24"/>
          <w:lang w:eastAsia="cs-CZ"/>
        </w:rPr>
        <w:t xml:space="preserve">III. 10-15 minut </w:t>
      </w:r>
      <w:r w:rsidR="001A0CCC">
        <w:rPr>
          <w:rFonts w:ascii="Times New Roman" w:eastAsia="Times New Roman" w:hAnsi="Times New Roman" w:cs="Times New Roman"/>
          <w:b/>
          <w:bCs/>
          <w:spacing w:val="15"/>
          <w:kern w:val="0"/>
          <w:sz w:val="24"/>
          <w:szCs w:val="24"/>
          <w:lang w:eastAsia="cs-CZ"/>
        </w:rPr>
        <w:t>závěrečná diskuse</w:t>
      </w:r>
      <w:r w:rsidRPr="001A0CCC">
        <w:rPr>
          <w:rFonts w:ascii="Times New Roman" w:eastAsia="Times New Roman" w:hAnsi="Times New Roman" w:cs="Times New Roman"/>
          <w:spacing w:val="15"/>
          <w:kern w:val="0"/>
          <w:sz w:val="24"/>
          <w:szCs w:val="24"/>
          <w:lang w:eastAsia="cs-CZ"/>
        </w:rPr>
        <w:t> </w:t>
      </w:r>
    </w:p>
    <w:p w:rsidR="00D2637E" w:rsidRPr="001A0CCC" w:rsidRDefault="00D2637E" w:rsidP="001A0CCC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</w:pPr>
      <w:r w:rsidRPr="001A0CCC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  <w:t>Zeptejte se svého klienta, jak se cítil ohledně léčebného sezení, jeho výkonu a použitých strategií.</w:t>
      </w:r>
    </w:p>
    <w:p w:rsidR="00D2637E" w:rsidRPr="001A0CCC" w:rsidRDefault="00D2637E" w:rsidP="001A0CCC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</w:pPr>
      <w:r w:rsidRPr="001A0CCC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eastAsia="cs-CZ"/>
        </w:rPr>
        <w:t>Ověřte si, zda od posledního sezení použili SFA „v běžném životě“, nebo spolupracujte na identifikaci nadcházející příležitosti k jeho použití.</w:t>
      </w:r>
    </w:p>
    <w:p w:rsidR="00D2637E" w:rsidRPr="001A0CCC" w:rsidRDefault="00D2637E" w:rsidP="001A0CC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pacing w:val="15"/>
          <w:kern w:val="0"/>
          <w:sz w:val="20"/>
          <w:szCs w:val="20"/>
          <w:lang w:eastAsia="cs-CZ"/>
        </w:rPr>
      </w:pPr>
      <w:hyperlink r:id="rId11" w:tgtFrame="_blank" w:history="1">
        <w:r w:rsidRPr="001A0CCC">
          <w:rPr>
            <w:rStyle w:val="Hypertextovodkaz"/>
            <w:rFonts w:ascii="Times New Roman" w:hAnsi="Times New Roman" w:cs="Times New Roman"/>
            <w:color w:val="auto"/>
            <w:spacing w:val="15"/>
            <w:sz w:val="20"/>
            <w:szCs w:val="20"/>
            <w:u w:val="none"/>
          </w:rPr>
          <w:t>Tilton-Bolowsky, V. E., Brock, L., Nunn, K., Evans, W. S., &amp; Vallila-Rohter, S. (2023). Incorporating metacognitive strategy training into semantic treatment promotes restitutive and</w:t>
        </w:r>
      </w:hyperlink>
      <w:r w:rsidRPr="001A0CCC">
        <w:rPr>
          <w:rFonts w:ascii="Times New Roman" w:hAnsi="Times New Roman" w:cs="Times New Roman"/>
          <w:spacing w:val="15"/>
          <w:sz w:val="20"/>
          <w:szCs w:val="20"/>
        </w:rPr>
        <w:t> </w:t>
      </w:r>
      <w:hyperlink r:id="rId12" w:tgtFrame="_blank" w:history="1">
        <w:r w:rsidRPr="001A0CCC">
          <w:rPr>
            <w:rStyle w:val="Hypertextovodkaz"/>
            <w:rFonts w:ascii="Times New Roman" w:hAnsi="Times New Roman" w:cs="Times New Roman"/>
            <w:color w:val="auto"/>
            <w:spacing w:val="15"/>
            <w:sz w:val="20"/>
            <w:szCs w:val="20"/>
            <w:u w:val="none"/>
          </w:rPr>
          <w:t>substitutive gains in naming: a single-subject investigation. </w:t>
        </w:r>
        <w:r w:rsidRPr="001A0CCC">
          <w:rPr>
            <w:rStyle w:val="Hypertextovodkaz"/>
            <w:rFonts w:ascii="Times New Roman" w:hAnsi="Times New Roman" w:cs="Times New Roman"/>
            <w:i/>
            <w:iCs/>
            <w:color w:val="auto"/>
            <w:spacing w:val="15"/>
            <w:sz w:val="20"/>
            <w:szCs w:val="20"/>
            <w:u w:val="none"/>
          </w:rPr>
          <w:t>American Journal of Speech-Language Pathology. </w:t>
        </w:r>
        <w:r w:rsidRPr="001A0CCC">
          <w:rPr>
            <w:rStyle w:val="Hypertextovodkaz"/>
            <w:rFonts w:ascii="Times New Roman" w:hAnsi="Times New Roman" w:cs="Times New Roman"/>
            <w:color w:val="auto"/>
            <w:spacing w:val="15"/>
            <w:sz w:val="20"/>
            <w:szCs w:val="20"/>
            <w:u w:val="none"/>
          </w:rPr>
          <w:t>https://doi.org/10.1044/2023_AJSLP-22-00230</w:t>
        </w:r>
      </w:hyperlink>
      <w:r w:rsidRPr="001A0CCC">
        <w:rPr>
          <w:rFonts w:ascii="Times New Roman" w:hAnsi="Times New Roman" w:cs="Times New Roman"/>
          <w:spacing w:val="15"/>
          <w:sz w:val="20"/>
          <w:szCs w:val="20"/>
        </w:rPr>
        <w:t xml:space="preserve"> [available to ASHA </w:t>
      </w:r>
      <w:proofErr w:type="spellStart"/>
      <w:r w:rsidRPr="001A0CCC">
        <w:rPr>
          <w:rFonts w:ascii="Times New Roman" w:hAnsi="Times New Roman" w:cs="Times New Roman"/>
          <w:spacing w:val="15"/>
          <w:sz w:val="20"/>
          <w:szCs w:val="20"/>
        </w:rPr>
        <w:t>members</w:t>
      </w:r>
      <w:proofErr w:type="spellEnd"/>
      <w:r w:rsidRPr="001A0CCC">
        <w:rPr>
          <w:rFonts w:ascii="Times New Roman" w:hAnsi="Times New Roman" w:cs="Times New Roman"/>
          <w:spacing w:val="15"/>
          <w:sz w:val="20"/>
          <w:szCs w:val="20"/>
        </w:rPr>
        <w:t>]</w:t>
      </w:r>
    </w:p>
    <w:tbl>
      <w:tblPr>
        <w:tblStyle w:val="Mkatabulky"/>
        <w:tblW w:w="0" w:type="auto"/>
        <w:tblInd w:w="0" w:type="dxa"/>
        <w:tblLook w:val="04A0"/>
      </w:tblPr>
      <w:tblGrid>
        <w:gridCol w:w="9062"/>
      </w:tblGrid>
      <w:tr w:rsidR="001A0CCC" w:rsidTr="001A0CC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CC" w:rsidRDefault="001A0CCC" w:rsidP="001A0C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tuck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posilování svalů jazyka pro zlepšení perorálního příjmu po CMP</w:t>
            </w:r>
          </w:p>
        </w:tc>
      </w:tr>
    </w:tbl>
    <w:p w:rsidR="00A46C12" w:rsidRDefault="00A46C12" w:rsidP="00A46C12">
      <w:pPr>
        <w:spacing w:line="360" w:lineRule="auto"/>
        <w:jc w:val="both"/>
        <w:rPr>
          <w:rStyle w:val="text-small"/>
          <w:rFonts w:ascii="Times New Roman" w:hAnsi="Times New Roman" w:cs="Times New Roman"/>
          <w:b/>
          <w:bCs/>
          <w:spacing w:val="15"/>
          <w:sz w:val="24"/>
          <w:szCs w:val="24"/>
        </w:rPr>
      </w:pPr>
    </w:p>
    <w:p w:rsidR="00881ED9" w:rsidRPr="00A46C12" w:rsidRDefault="00881ED9" w:rsidP="00A46C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C12">
        <w:rPr>
          <w:rFonts w:ascii="Times New Roman" w:hAnsi="Times New Roman" w:cs="Times New Roman"/>
          <w:sz w:val="24"/>
          <w:szCs w:val="24"/>
        </w:rPr>
        <w:t xml:space="preserve">Chin </w:t>
      </w:r>
      <w:proofErr w:type="spellStart"/>
      <w:r w:rsidRPr="00A46C12">
        <w:rPr>
          <w:rFonts w:ascii="Times New Roman" w:hAnsi="Times New Roman" w:cs="Times New Roman"/>
          <w:sz w:val="24"/>
          <w:szCs w:val="24"/>
        </w:rPr>
        <w:t>Tuck</w:t>
      </w:r>
      <w:proofErr w:type="spellEnd"/>
      <w:r w:rsidRPr="00A46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C12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A46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C12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A46C12">
        <w:rPr>
          <w:rFonts w:ascii="Times New Roman" w:hAnsi="Times New Roman" w:cs="Times New Roman"/>
          <w:sz w:val="24"/>
          <w:szCs w:val="24"/>
        </w:rPr>
        <w:t xml:space="preserve"> (CTAR) –</w:t>
      </w:r>
      <w:r w:rsidR="00A46C12">
        <w:rPr>
          <w:rFonts w:ascii="Times New Roman" w:hAnsi="Times New Roman" w:cs="Times New Roman"/>
          <w:sz w:val="24"/>
          <w:szCs w:val="24"/>
        </w:rPr>
        <w:t xml:space="preserve"> posiluje </w:t>
      </w:r>
      <w:proofErr w:type="spellStart"/>
      <w:r w:rsidR="00A46C12">
        <w:rPr>
          <w:rFonts w:ascii="Times New Roman" w:hAnsi="Times New Roman" w:cs="Times New Roman"/>
          <w:sz w:val="24"/>
          <w:szCs w:val="24"/>
        </w:rPr>
        <w:t>suprahy</w:t>
      </w:r>
      <w:r w:rsidRPr="00A46C12">
        <w:rPr>
          <w:rFonts w:ascii="Times New Roman" w:hAnsi="Times New Roman" w:cs="Times New Roman"/>
          <w:sz w:val="24"/>
          <w:szCs w:val="24"/>
        </w:rPr>
        <w:t>oidní</w:t>
      </w:r>
      <w:proofErr w:type="spellEnd"/>
      <w:r w:rsidRPr="00A46C12">
        <w:rPr>
          <w:rFonts w:ascii="Times New Roman" w:hAnsi="Times New Roman" w:cs="Times New Roman"/>
          <w:sz w:val="24"/>
          <w:szCs w:val="24"/>
        </w:rPr>
        <w:t xml:space="preserve"> svaly, jde o  přitlačení brady dolů k hrudní kosti, proti nějakému odporu, pro kombinaci po sobě jdoucích opakování (</w:t>
      </w:r>
      <w:proofErr w:type="spellStart"/>
      <w:r w:rsidRPr="00A46C12">
        <w:rPr>
          <w:rFonts w:ascii="Times New Roman" w:hAnsi="Times New Roman" w:cs="Times New Roman"/>
          <w:sz w:val="24"/>
          <w:szCs w:val="24"/>
        </w:rPr>
        <w:t>izokinetické</w:t>
      </w:r>
      <w:proofErr w:type="spellEnd"/>
      <w:r w:rsidRPr="00A46C12">
        <w:rPr>
          <w:rFonts w:ascii="Times New Roman" w:hAnsi="Times New Roman" w:cs="Times New Roman"/>
          <w:sz w:val="24"/>
          <w:szCs w:val="24"/>
        </w:rPr>
        <w:t>) a trvalé držení (izometrické). </w:t>
      </w:r>
    </w:p>
    <w:p w:rsidR="00881ED9" w:rsidRPr="00881ED9" w:rsidRDefault="00881ED9" w:rsidP="00881ED9">
      <w:pPr>
        <w:pStyle w:val="Nadpis2"/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81ED9">
        <w:rPr>
          <w:rStyle w:val="text-small"/>
          <w:rFonts w:ascii="Times New Roman" w:hAnsi="Times New Roman" w:cs="Times New Roman"/>
          <w:b w:val="0"/>
          <w:bCs w:val="0"/>
          <w:color w:val="auto"/>
          <w:spacing w:val="15"/>
          <w:sz w:val="24"/>
          <w:szCs w:val="24"/>
        </w:rPr>
        <w:lastRenderedPageBreak/>
        <w:t xml:space="preserve"> </w:t>
      </w:r>
      <w:hyperlink r:id="rId13" w:tgtFrame="_blank" w:history="1">
        <w:proofErr w:type="spellStart"/>
        <w:r w:rsidRPr="00881ED9">
          <w:rPr>
            <w:rStyle w:val="Hypertextovodkaz"/>
            <w:rFonts w:ascii="Times New Roman" w:hAnsi="Times New Roman" w:cs="Times New Roman"/>
            <w:b w:val="0"/>
            <w:color w:val="auto"/>
            <w:spacing w:val="15"/>
            <w:sz w:val="24"/>
            <w:szCs w:val="24"/>
          </w:rPr>
          <w:t>Liu</w:t>
        </w:r>
        <w:proofErr w:type="spellEnd"/>
        <w:r w:rsidRPr="00881ED9">
          <w:rPr>
            <w:rStyle w:val="Hypertextovodkaz"/>
            <w:rFonts w:ascii="Times New Roman" w:hAnsi="Times New Roman" w:cs="Times New Roman"/>
            <w:b w:val="0"/>
            <w:color w:val="auto"/>
            <w:spacing w:val="15"/>
            <w:sz w:val="24"/>
            <w:szCs w:val="24"/>
          </w:rPr>
          <w:t xml:space="preserve"> a kolegové</w:t>
        </w:r>
      </w:hyperlink>
      <w:r w:rsidRPr="00881ED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porovnávali studie o</w:t>
      </w:r>
      <w:r w:rsidR="00A46C1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účincích CTAR a </w:t>
      </w:r>
      <w:proofErr w:type="spellStart"/>
      <w:r w:rsidR="00A46C12">
        <w:rPr>
          <w:rFonts w:ascii="Times New Roman" w:hAnsi="Times New Roman" w:cs="Times New Roman"/>
          <w:b w:val="0"/>
          <w:color w:val="auto"/>
          <w:sz w:val="24"/>
          <w:szCs w:val="24"/>
        </w:rPr>
        <w:t>Shaker</w:t>
      </w:r>
      <w:proofErr w:type="spellEnd"/>
      <w:r w:rsidR="00A46C1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manévru</w:t>
      </w:r>
      <w:r w:rsidRPr="00881ED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 zjistili, že právě provádění CTAR u pacientů s dysfagií po CMP má velký přínos ve zlepšení bezpečného perorálního příjmu.</w:t>
      </w:r>
    </w:p>
    <w:p w:rsidR="00881ED9" w:rsidRPr="00881ED9" w:rsidRDefault="00881ED9" w:rsidP="00881E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ED9">
        <w:rPr>
          <w:rFonts w:ascii="Times New Roman" w:hAnsi="Times New Roman" w:cs="Times New Roman"/>
          <w:spacing w:val="15"/>
          <w:sz w:val="24"/>
          <w:szCs w:val="24"/>
        </w:rPr>
        <w:t> </w:t>
      </w:r>
      <w:hyperlink r:id="rId14" w:tgtFrame="_blank" w:history="1">
        <w:proofErr w:type="spellStart"/>
        <w:r w:rsidRPr="00881ED9">
          <w:rPr>
            <w:rStyle w:val="Hypertextovodkaz"/>
            <w:rFonts w:ascii="Times New Roman" w:hAnsi="Times New Roman" w:cs="Times New Roman"/>
            <w:color w:val="auto"/>
            <w:spacing w:val="15"/>
            <w:sz w:val="24"/>
            <w:szCs w:val="24"/>
            <w:u w:val="none"/>
          </w:rPr>
          <w:t>Krekeler</w:t>
        </w:r>
        <w:proofErr w:type="spellEnd"/>
        <w:r w:rsidRPr="00881ED9">
          <w:rPr>
            <w:rStyle w:val="Hypertextovodkaz"/>
            <w:rFonts w:ascii="Times New Roman" w:hAnsi="Times New Roman" w:cs="Times New Roman"/>
            <w:color w:val="auto"/>
            <w:spacing w:val="15"/>
            <w:sz w:val="24"/>
            <w:szCs w:val="24"/>
            <w:u w:val="none"/>
          </w:rPr>
          <w:t xml:space="preserve"> a kolegové</w:t>
        </w:r>
      </w:hyperlink>
      <w:r w:rsidRPr="00881ED9">
        <w:rPr>
          <w:rFonts w:ascii="Times New Roman" w:hAnsi="Times New Roman" w:cs="Times New Roman"/>
          <w:sz w:val="24"/>
          <w:szCs w:val="24"/>
        </w:rPr>
        <w:t xml:space="preserve"> zkoumali vliv lingválního posilování na dysfagie a</w:t>
      </w:r>
      <w:r w:rsidR="00A46C12">
        <w:rPr>
          <w:rFonts w:ascii="Times New Roman" w:hAnsi="Times New Roman" w:cs="Times New Roman"/>
          <w:sz w:val="24"/>
          <w:szCs w:val="24"/>
        </w:rPr>
        <w:t xml:space="preserve"> rozhodně s ohledem na zkrácení</w:t>
      </w:r>
      <w:r w:rsidRPr="00881ED9">
        <w:rPr>
          <w:rFonts w:ascii="Times New Roman" w:hAnsi="Times New Roman" w:cs="Times New Roman"/>
          <w:sz w:val="24"/>
          <w:szCs w:val="24"/>
        </w:rPr>
        <w:t xml:space="preserve"> doby léčby rovněž doporučují zařadit do terapií právě izometrická a </w:t>
      </w:r>
      <w:proofErr w:type="spellStart"/>
      <w:r w:rsidRPr="00881ED9">
        <w:rPr>
          <w:rFonts w:ascii="Times New Roman" w:hAnsi="Times New Roman" w:cs="Times New Roman"/>
          <w:sz w:val="24"/>
          <w:szCs w:val="24"/>
        </w:rPr>
        <w:t>izokinetická</w:t>
      </w:r>
      <w:proofErr w:type="spellEnd"/>
      <w:r w:rsidRPr="00881ED9">
        <w:rPr>
          <w:rFonts w:ascii="Times New Roman" w:hAnsi="Times New Roman" w:cs="Times New Roman"/>
          <w:sz w:val="24"/>
          <w:szCs w:val="24"/>
        </w:rPr>
        <w:t xml:space="preserve"> posilování jazyka.</w:t>
      </w:r>
    </w:p>
    <w:p w:rsidR="00881ED9" w:rsidRPr="00A46C12" w:rsidRDefault="00881ED9" w:rsidP="00A46C12">
      <w:pPr>
        <w:pStyle w:val="Normlnweb"/>
        <w:spacing w:before="0" w:beforeAutospacing="0" w:after="0" w:afterAutospacing="0" w:line="276" w:lineRule="auto"/>
        <w:jc w:val="both"/>
        <w:rPr>
          <w:spacing w:val="15"/>
          <w:sz w:val="20"/>
          <w:szCs w:val="20"/>
        </w:rPr>
      </w:pPr>
      <w:hyperlink r:id="rId15" w:tgtFrame="_blank" w:history="1">
        <w:r w:rsidRPr="00A46C12">
          <w:rPr>
            <w:rStyle w:val="Hypertextovodkaz"/>
            <w:color w:val="auto"/>
            <w:spacing w:val="15"/>
            <w:sz w:val="20"/>
            <w:szCs w:val="20"/>
            <w:u w:val="none"/>
          </w:rPr>
          <w:t>Krekeler, B. N., Yee, J., Kurosu, A., Osman, F., Peña-Chávez, R., Leverson, G., Young, B., Sattin, J., Knigge, M., Thibeault, S., &amp; Rogus-Pulia, N. (2022). Effects of device-facilitated lingual strengthening therapy on dysphagia related outcomes in patients post-stroke: A randomized controlled trial. </w:t>
        </w:r>
        <w:r w:rsidRPr="00A46C12">
          <w:rPr>
            <w:rStyle w:val="Hypertextovodkaz"/>
            <w:i/>
            <w:iCs/>
            <w:color w:val="auto"/>
            <w:spacing w:val="15"/>
            <w:sz w:val="20"/>
            <w:szCs w:val="20"/>
            <w:u w:val="none"/>
          </w:rPr>
          <w:t>Dysphagia. </w:t>
        </w:r>
        <w:r w:rsidRPr="00A46C12">
          <w:rPr>
            <w:rStyle w:val="Hypertextovodkaz"/>
            <w:color w:val="auto"/>
            <w:spacing w:val="15"/>
            <w:sz w:val="20"/>
            <w:szCs w:val="20"/>
            <w:u w:val="none"/>
          </w:rPr>
          <w:t>https://doi.org/10.1007/s00455-023-10583-0</w:t>
        </w:r>
      </w:hyperlink>
      <w:r w:rsidRPr="00A46C12">
        <w:rPr>
          <w:spacing w:val="15"/>
          <w:sz w:val="20"/>
          <w:szCs w:val="20"/>
        </w:rPr>
        <w:t xml:space="preserve"> [open </w:t>
      </w:r>
      <w:proofErr w:type="spellStart"/>
      <w:r w:rsidRPr="00A46C12">
        <w:rPr>
          <w:spacing w:val="15"/>
          <w:sz w:val="20"/>
          <w:szCs w:val="20"/>
        </w:rPr>
        <w:t>access</w:t>
      </w:r>
      <w:proofErr w:type="spellEnd"/>
      <w:r w:rsidRPr="00A46C12">
        <w:rPr>
          <w:spacing w:val="15"/>
          <w:sz w:val="20"/>
          <w:szCs w:val="20"/>
        </w:rPr>
        <w:t>]</w:t>
      </w:r>
    </w:p>
    <w:p w:rsidR="00881ED9" w:rsidRPr="00A46C12" w:rsidRDefault="00881ED9" w:rsidP="00A46C12">
      <w:pPr>
        <w:pStyle w:val="Normlnweb"/>
        <w:spacing w:before="0" w:beforeAutospacing="0" w:after="0" w:afterAutospacing="0" w:line="276" w:lineRule="auto"/>
        <w:jc w:val="both"/>
        <w:rPr>
          <w:spacing w:val="15"/>
          <w:sz w:val="20"/>
          <w:szCs w:val="20"/>
        </w:rPr>
      </w:pPr>
      <w:r w:rsidRPr="00A46C12">
        <w:rPr>
          <w:spacing w:val="15"/>
          <w:sz w:val="20"/>
          <w:szCs w:val="20"/>
        </w:rPr>
        <w:br/>
      </w:r>
      <w:hyperlink r:id="rId16" w:tgtFrame="_blank" w:history="1">
        <w:r w:rsidRPr="00A46C12">
          <w:rPr>
            <w:rStyle w:val="Hypertextovodkaz"/>
            <w:color w:val="auto"/>
            <w:spacing w:val="15"/>
            <w:sz w:val="20"/>
            <w:szCs w:val="20"/>
            <w:u w:val="none"/>
          </w:rPr>
          <w:t>Liu, J., Wang, Q., Tian, J., Zhou, W., Gao, Y., Chen, X., Zhang, W., Gao, Y., &amp; Zhou, L. (2023). Effects of chin tuck against resistance exercise on post-stroke dysphagia rehabilitation: A systematic review and meta-analysis. </w:t>
        </w:r>
        <w:r w:rsidRPr="00A46C12">
          <w:rPr>
            <w:rStyle w:val="Hypertextovodkaz"/>
            <w:i/>
            <w:iCs/>
            <w:color w:val="auto"/>
            <w:spacing w:val="15"/>
            <w:sz w:val="20"/>
            <w:szCs w:val="20"/>
            <w:u w:val="none"/>
          </w:rPr>
          <w:t>Frontiers in Neurology. </w:t>
        </w:r>
        <w:r w:rsidRPr="00A46C12">
          <w:rPr>
            <w:rStyle w:val="Hypertextovodkaz"/>
            <w:color w:val="auto"/>
            <w:spacing w:val="15"/>
            <w:sz w:val="20"/>
            <w:szCs w:val="20"/>
            <w:u w:val="none"/>
          </w:rPr>
          <w:t>https://doi.org/10.3389/fneur.2022.1109140</w:t>
        </w:r>
      </w:hyperlink>
      <w:r w:rsidRPr="00A46C12">
        <w:rPr>
          <w:spacing w:val="15"/>
          <w:sz w:val="20"/>
          <w:szCs w:val="20"/>
        </w:rPr>
        <w:t xml:space="preserve"> [open </w:t>
      </w:r>
      <w:proofErr w:type="spellStart"/>
      <w:r w:rsidRPr="00A46C12">
        <w:rPr>
          <w:spacing w:val="15"/>
          <w:sz w:val="20"/>
          <w:szCs w:val="20"/>
        </w:rPr>
        <w:t>access</w:t>
      </w:r>
      <w:proofErr w:type="spellEnd"/>
      <w:r w:rsidRPr="00A46C12">
        <w:rPr>
          <w:spacing w:val="15"/>
          <w:sz w:val="20"/>
          <w:szCs w:val="20"/>
        </w:rPr>
        <w:t>]</w:t>
      </w:r>
    </w:p>
    <w:p w:rsidR="001A0CCC" w:rsidRDefault="001A0CCC" w:rsidP="001A0C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882" w:rsidRPr="00813882" w:rsidRDefault="00813882" w:rsidP="008138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13882" w:rsidRPr="00813882" w:rsidSect="00741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F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29DD"/>
    <w:multiLevelType w:val="hybridMultilevel"/>
    <w:tmpl w:val="916C6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C344C"/>
    <w:multiLevelType w:val="multilevel"/>
    <w:tmpl w:val="23FE4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107F4D"/>
    <w:multiLevelType w:val="multilevel"/>
    <w:tmpl w:val="FABCA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376DBD"/>
    <w:multiLevelType w:val="multilevel"/>
    <w:tmpl w:val="503A1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AD4D09"/>
    <w:multiLevelType w:val="multilevel"/>
    <w:tmpl w:val="483EC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21DE"/>
    <w:rsid w:val="001A0CCC"/>
    <w:rsid w:val="00336245"/>
    <w:rsid w:val="003B3C45"/>
    <w:rsid w:val="007412E1"/>
    <w:rsid w:val="00813882"/>
    <w:rsid w:val="00881ED9"/>
    <w:rsid w:val="00A46C12"/>
    <w:rsid w:val="00D221DE"/>
    <w:rsid w:val="00D26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21DE"/>
    <w:pPr>
      <w:spacing w:after="160" w:line="256" w:lineRule="auto"/>
    </w:pPr>
    <w:rPr>
      <w:kern w:val="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1E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D263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221DE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1388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13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13882"/>
    <w:rPr>
      <w:color w:val="0000FF"/>
      <w:u w:val="single"/>
    </w:rPr>
  </w:style>
  <w:style w:type="paragraph" w:customStyle="1" w:styleId="styledtext-sc-c42ijh-0">
    <w:name w:val="styled__text-sc-c42ijh-0"/>
    <w:basedOn w:val="Normln"/>
    <w:rsid w:val="00813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2637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37E"/>
    <w:rPr>
      <w:rFonts w:ascii="Tahoma" w:hAnsi="Tahoma" w:cs="Tahoma"/>
      <w:kern w:val="2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D2637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text-small">
    <w:name w:val="text-small"/>
    <w:basedOn w:val="Standardnpsmoodstavce"/>
    <w:rsid w:val="00D2637E"/>
  </w:style>
  <w:style w:type="character" w:customStyle="1" w:styleId="Nadpis2Char">
    <w:name w:val="Nadpis 2 Char"/>
    <w:basedOn w:val="Standardnpsmoodstavce"/>
    <w:link w:val="Nadpis2"/>
    <w:uiPriority w:val="9"/>
    <w:semiHidden/>
    <w:rsid w:val="00881ED9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5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44/2023_AJSLP-22-00230" TargetMode="External"/><Relationship Id="rId13" Type="http://schemas.openxmlformats.org/officeDocument/2006/relationships/hyperlink" Target="https://doi.org/10.3389/fneur.2022.110914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07/s00405-023-08042-5" TargetMode="External"/><Relationship Id="rId12" Type="http://schemas.openxmlformats.org/officeDocument/2006/relationships/hyperlink" Target="https://doi.org/10.1044/2023_AJSLP-22-0023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3389/fneur.2022.110914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007/s00405-023-08042-5" TargetMode="External"/><Relationship Id="rId11" Type="http://schemas.openxmlformats.org/officeDocument/2006/relationships/hyperlink" Target="https://doi.org/10.1044/2023_AJSLP-22-00230" TargetMode="External"/><Relationship Id="rId5" Type="http://schemas.openxmlformats.org/officeDocument/2006/relationships/hyperlink" Target="https://doi.org/10.1002/lary.30850" TargetMode="External"/><Relationship Id="rId15" Type="http://schemas.openxmlformats.org/officeDocument/2006/relationships/hyperlink" Target="https://doi.org/10.1007/s00455-023-10583-0" TargetMode="External"/><Relationship Id="rId10" Type="http://schemas.openxmlformats.org/officeDocument/2006/relationships/hyperlink" Target="https://tactustherapy.com/semantic-feature-analysis-sfa-anomi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doi.org/10.1007/s00455-023-10583-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866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BilaS</dc:creator>
  <cp:keywords/>
  <dc:description/>
  <cp:lastModifiedBy>BilaS</cp:lastModifiedBy>
  <cp:revision>2</cp:revision>
  <dcterms:created xsi:type="dcterms:W3CDTF">2023-12-05T08:55:00Z</dcterms:created>
  <dcterms:modified xsi:type="dcterms:W3CDTF">2023-12-05T09:57:00Z</dcterms:modified>
</cp:coreProperties>
</file>